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FB57B4">
        <w:rPr>
          <w:rFonts w:cs="Arial"/>
          <w:noProof w:val="0"/>
          <w:sz w:val="24"/>
          <w:szCs w:val="24"/>
          <w:lang w:val="en-GB"/>
        </w:rPr>
        <w:t>8</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CE29B0">
        <w:rPr>
          <w:rFonts w:eastAsia="新細明體" w:cs="Arial"/>
          <w:bCs/>
          <w:noProof w:val="0"/>
          <w:sz w:val="24"/>
          <w:lang w:val="en-GB" w:eastAsia="zh-TW"/>
        </w:rPr>
        <w:t>0</w:t>
      </w:r>
      <w:r w:rsidR="0040678F">
        <w:rPr>
          <w:rFonts w:eastAsia="新細明體" w:cs="Arial"/>
          <w:bCs/>
          <w:noProof w:val="0"/>
          <w:sz w:val="24"/>
          <w:lang w:val="en-GB" w:eastAsia="zh-TW"/>
        </w:rPr>
        <w:t>8407</w:t>
      </w:r>
    </w:p>
    <w:p w:rsidR="00B945C1" w:rsidRPr="0004564C" w:rsidRDefault="00FB57B4" w:rsidP="007B1761">
      <w:pPr>
        <w:pStyle w:val="Header"/>
        <w:tabs>
          <w:tab w:val="right" w:pos="9639"/>
        </w:tabs>
        <w:spacing w:after="120"/>
        <w:rPr>
          <w:rFonts w:eastAsia="新細明體" w:cs="Arial"/>
          <w:sz w:val="24"/>
          <w:lang w:eastAsia="zh-TW"/>
        </w:rPr>
      </w:pPr>
      <w:r>
        <w:rPr>
          <w:rFonts w:eastAsia="新細明體" w:cs="Arial"/>
          <w:sz w:val="24"/>
          <w:lang w:val="en-GB" w:eastAsia="zh-TW"/>
        </w:rPr>
        <w:t>Prague</w:t>
      </w:r>
      <w:r w:rsidR="00874FF4">
        <w:rPr>
          <w:rFonts w:eastAsia="新細明體" w:cs="Arial"/>
          <w:sz w:val="24"/>
          <w:lang w:val="en-GB" w:eastAsia="zh-TW"/>
        </w:rPr>
        <w:t xml:space="preserve">, </w:t>
      </w:r>
      <w:r>
        <w:rPr>
          <w:rFonts w:eastAsia="新細明體" w:cs="Arial"/>
          <w:sz w:val="24"/>
          <w:lang w:val="en-GB" w:eastAsia="zh-TW"/>
        </w:rPr>
        <w:t>Czech Republic</w:t>
      </w:r>
      <w:r w:rsidR="00A81907">
        <w:rPr>
          <w:rFonts w:eastAsia="新細明體" w:cs="Arial"/>
          <w:sz w:val="24"/>
          <w:lang w:val="en-GB" w:eastAsia="zh-TW"/>
        </w:rPr>
        <w:t xml:space="preserve">, </w:t>
      </w:r>
      <w:r>
        <w:rPr>
          <w:rFonts w:eastAsia="新細明體" w:cs="Arial"/>
          <w:sz w:val="24"/>
          <w:lang w:val="en-GB" w:eastAsia="zh-TW"/>
        </w:rPr>
        <w:t>26</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August</w:t>
      </w:r>
      <w:r w:rsidR="00574753">
        <w:rPr>
          <w:rFonts w:eastAsia="新細明體" w:cs="Arial"/>
          <w:sz w:val="24"/>
          <w:lang w:val="en-GB" w:eastAsia="zh-TW"/>
        </w:rPr>
        <w:t xml:space="preserve"> – </w:t>
      </w:r>
      <w:r>
        <w:rPr>
          <w:rFonts w:eastAsia="新細明體" w:cs="Arial"/>
          <w:sz w:val="24"/>
          <w:lang w:val="en-GB" w:eastAsia="zh-TW"/>
        </w:rPr>
        <w:t>30</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August</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0C4D46">
        <w:rPr>
          <w:rFonts w:cs="Arial"/>
          <w:b/>
          <w:bCs/>
          <w:sz w:val="24"/>
        </w:rPr>
        <w:t>4</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B1D88">
        <w:rPr>
          <w:rFonts w:ascii="Arial" w:hAnsi="Arial" w:cs="Arial"/>
          <w:b/>
          <w:bCs/>
          <w:szCs w:val="24"/>
        </w:rPr>
        <w:t>Procedure</w:t>
      </w:r>
      <w:r w:rsidR="000F6806">
        <w:rPr>
          <w:rFonts w:ascii="Arial" w:hAnsi="Arial" w:cs="Arial"/>
          <w:b/>
          <w:bCs/>
          <w:szCs w:val="24"/>
        </w:rPr>
        <w:t xml:space="preserve"> 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035840" w:rsidRDefault="004426B7" w:rsidP="004426B7">
      <w:pPr>
        <w:spacing w:after="12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The procedure design for positioning has reached the following agreement</w:t>
      </w:r>
      <w:r w:rsidR="00902D5A">
        <w:rPr>
          <w:lang w:val="en-GB" w:eastAsia="zh-TW"/>
        </w:rPr>
        <w:t>s</w:t>
      </w:r>
      <w:r>
        <w:rPr>
          <w:lang w:val="en-GB" w:eastAsia="zh-TW"/>
        </w:rPr>
        <w:t xml:space="preserve"> in previous meeting,</w:t>
      </w:r>
    </w:p>
    <w:tbl>
      <w:tblPr>
        <w:tblStyle w:val="TableGrid"/>
        <w:tblW w:w="0" w:type="auto"/>
        <w:tblLook w:val="04A0" w:firstRow="1" w:lastRow="0" w:firstColumn="1" w:lastColumn="0" w:noHBand="0" w:noVBand="1"/>
      </w:tblPr>
      <w:tblGrid>
        <w:gridCol w:w="9629"/>
      </w:tblGrid>
      <w:tr w:rsidR="001B748D" w:rsidTr="001B748D">
        <w:tc>
          <w:tcPr>
            <w:tcW w:w="9629" w:type="dxa"/>
          </w:tcPr>
          <w:p w:rsidR="00902D5A" w:rsidRPr="00902D5A" w:rsidRDefault="00902D5A" w:rsidP="00902D5A">
            <w:pPr>
              <w:spacing w:after="0" w:line="240" w:lineRule="auto"/>
              <w:rPr>
                <w:rFonts w:eastAsia="Batang" w:cs="Times New Roman"/>
                <w:sz w:val="16"/>
                <w:szCs w:val="16"/>
                <w:lang w:val="en-GB" w:eastAsia="en-US"/>
              </w:rPr>
            </w:pPr>
            <w:r w:rsidRPr="00902D5A">
              <w:rPr>
                <w:rFonts w:eastAsia="Batang" w:cs="Times New Roman"/>
                <w:sz w:val="16"/>
                <w:szCs w:val="16"/>
                <w:highlight w:val="green"/>
                <w:lang w:val="en-GB" w:eastAsia="en-US"/>
              </w:rPr>
              <w:t>Agreement:</w:t>
            </w:r>
          </w:p>
          <w:p w:rsidR="00902D5A" w:rsidRPr="00902D5A" w:rsidRDefault="00902D5A" w:rsidP="00902D5A">
            <w:pPr>
              <w:spacing w:after="0" w:line="240" w:lineRule="auto"/>
              <w:rPr>
                <w:rFonts w:eastAsia="Batang" w:cs="Times New Roman"/>
                <w:sz w:val="16"/>
                <w:szCs w:val="16"/>
                <w:lang w:val="en-GB" w:eastAsia="en-US"/>
              </w:rPr>
            </w:pPr>
            <w:r w:rsidRPr="00902D5A">
              <w:rPr>
                <w:rFonts w:eastAsia="Batang" w:cs="Times New Roman"/>
                <w:sz w:val="16"/>
                <w:szCs w:val="16"/>
                <w:lang w:val="en-GB" w:eastAsia="en-US"/>
              </w:rPr>
              <w:t>For intra-frequency measurements, when measurement gaps are configured, the UE is expected to measure the DL PRS resource outside the configured (active and inactive) BWPs (Option 2 in the related Agreement from RAN1 #96-Bis).</w:t>
            </w:r>
          </w:p>
          <w:p w:rsidR="00902D5A" w:rsidRPr="00902D5A" w:rsidRDefault="00902D5A" w:rsidP="00902D5A">
            <w:pPr>
              <w:numPr>
                <w:ilvl w:val="0"/>
                <w:numId w:val="37"/>
              </w:numPr>
              <w:spacing w:after="0" w:line="240" w:lineRule="auto"/>
              <w:rPr>
                <w:rFonts w:eastAsia="Batang" w:cs="Times New Roman"/>
                <w:sz w:val="16"/>
                <w:szCs w:val="16"/>
                <w:lang w:val="en-GB" w:eastAsia="en-US"/>
              </w:rPr>
            </w:pPr>
            <w:r w:rsidRPr="00902D5A">
              <w:rPr>
                <w:rFonts w:eastAsia="Batang" w:cs="Times New Roman"/>
                <w:sz w:val="16"/>
                <w:szCs w:val="16"/>
                <w:lang w:val="en-GB" w:eastAsia="en-US"/>
              </w:rPr>
              <w:t>Note: The UE has flexibility to measure only on a part of the DL PRS configured bandwidth as long as measurement requirements are met.</w:t>
            </w:r>
          </w:p>
          <w:p w:rsidR="00902D5A" w:rsidRPr="00902D5A" w:rsidRDefault="00902D5A" w:rsidP="00902D5A">
            <w:pPr>
              <w:spacing w:after="0" w:line="240" w:lineRule="auto"/>
              <w:rPr>
                <w:rFonts w:eastAsia="Batang" w:cs="Times New Roman"/>
                <w:sz w:val="16"/>
                <w:szCs w:val="16"/>
                <w:lang w:val="en-GB" w:eastAsia="en-US"/>
              </w:rPr>
            </w:pPr>
          </w:p>
          <w:p w:rsidR="00902D5A" w:rsidRPr="00902D5A" w:rsidRDefault="00902D5A" w:rsidP="00902D5A">
            <w:pPr>
              <w:spacing w:after="0" w:line="240" w:lineRule="auto"/>
              <w:rPr>
                <w:rFonts w:eastAsia="Batang" w:cs="Times New Roman"/>
                <w:sz w:val="16"/>
                <w:szCs w:val="16"/>
                <w:lang w:val="en-GB" w:eastAsia="en-US"/>
              </w:rPr>
            </w:pPr>
            <w:r w:rsidRPr="00902D5A">
              <w:rPr>
                <w:rFonts w:eastAsia="Batang" w:cs="Times New Roman"/>
                <w:sz w:val="16"/>
                <w:szCs w:val="16"/>
                <w:highlight w:val="green"/>
                <w:lang w:val="en-GB" w:eastAsia="en-US"/>
              </w:rPr>
              <w:t>Agreement:</w:t>
            </w:r>
          </w:p>
          <w:p w:rsidR="00902D5A" w:rsidRPr="00902D5A" w:rsidRDefault="00902D5A" w:rsidP="00902D5A">
            <w:pPr>
              <w:keepNext/>
              <w:keepLines/>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For positioning purposes, to assist UE to perform Rx beamforming, the following options are supported (options are from previous related agreement in RAN1#96bis):</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1: The DL PRS can be configured to be QCLed Type D with a DL Reference Signal from a serving or neighboring cell.</w:t>
            </w:r>
          </w:p>
          <w:p w:rsidR="00902D5A" w:rsidRPr="00902D5A" w:rsidRDefault="00902D5A" w:rsidP="00902D5A">
            <w:pPr>
              <w:keepNext/>
              <w:keepLines/>
              <w:numPr>
                <w:ilvl w:val="1"/>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Discuss further which DL reference signal can be used (e.g., SSB, CSI-RS, DL-PRS).</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2: The UE may perform a Rx beam sweeping on DL PRS resources which are transmitted with the same downlink spatial domain transmission filter.</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3: The UE may use a fixed Rx beam to receive DL PRS resources which are transmitted with different downlink spatial domain transmission filter.</w:t>
            </w:r>
          </w:p>
          <w:p w:rsidR="00902D5A" w:rsidRPr="00902D5A" w:rsidRDefault="00902D5A" w:rsidP="00902D5A">
            <w:pPr>
              <w:keepNext/>
              <w:keepLines/>
              <w:numPr>
                <w:ilvl w:val="1"/>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FFS: Whether this option can be achieved by Option 1</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FFS on specification impacts.</w:t>
            </w:r>
          </w:p>
          <w:p w:rsidR="00902D5A" w:rsidRPr="00902D5A" w:rsidRDefault="00902D5A" w:rsidP="00902D5A">
            <w:pPr>
              <w:spacing w:after="0" w:line="240" w:lineRule="auto"/>
              <w:rPr>
                <w:rFonts w:eastAsia="Batang" w:cs="Times New Roman"/>
                <w:sz w:val="16"/>
                <w:szCs w:val="16"/>
                <w:lang w:val="en-GB" w:eastAsia="en-US"/>
              </w:rPr>
            </w:pPr>
          </w:p>
          <w:p w:rsidR="00902D5A" w:rsidRPr="00902D5A" w:rsidRDefault="00902D5A" w:rsidP="00902D5A">
            <w:pPr>
              <w:spacing w:after="0" w:line="240" w:lineRule="auto"/>
              <w:ind w:left="1440" w:hanging="1440"/>
              <w:rPr>
                <w:rFonts w:eastAsia="Batang" w:cs="Times New Roman"/>
                <w:sz w:val="16"/>
                <w:szCs w:val="16"/>
                <w:lang w:val="en-GB" w:eastAsia="en-US"/>
              </w:rPr>
            </w:pPr>
            <w:r w:rsidRPr="00902D5A">
              <w:rPr>
                <w:rFonts w:eastAsia="Batang" w:cs="Times New Roman"/>
                <w:sz w:val="16"/>
                <w:szCs w:val="16"/>
                <w:highlight w:val="green"/>
                <w:lang w:val="en-GB" w:eastAsia="en-US"/>
              </w:rPr>
              <w:t>Agreement:</w:t>
            </w:r>
          </w:p>
          <w:p w:rsidR="00902D5A" w:rsidRPr="00902D5A" w:rsidRDefault="00902D5A" w:rsidP="00902D5A">
            <w:pPr>
              <w:keepNext/>
              <w:keepLines/>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For positioning purposes, with regards to the UL SRS transmission power, support at least the following in addition to the existing Rel-15 behaviour:</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 xml:space="preserve">Support configuring a DL reference signal of a neighbouring cell to be used as DL path loss reference for the purpose of SRS power control.  </w:t>
            </w:r>
          </w:p>
          <w:p w:rsidR="00902D5A" w:rsidRPr="00902D5A" w:rsidRDefault="00902D5A" w:rsidP="00902D5A">
            <w:pPr>
              <w:keepNext/>
              <w:keepLines/>
              <w:numPr>
                <w:ilvl w:val="1"/>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 xml:space="preserve">FFS: Which reference signals can be used (e.g. a CSI-RS, or a SSB, or DL PRS). </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Study further the UE configuration signalling and procedure.</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FFS on a fallback procedure if the UE is not able to obtain the pathloss reference.</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FFS on number of measurements for pathloss.</w:t>
            </w:r>
          </w:p>
          <w:p w:rsidR="00902D5A" w:rsidRPr="00902D5A" w:rsidRDefault="00902D5A" w:rsidP="00902D5A">
            <w:pPr>
              <w:spacing w:after="0" w:line="240" w:lineRule="auto"/>
              <w:jc w:val="both"/>
              <w:rPr>
                <w:rFonts w:eastAsia="Batang" w:cs="Times New Roman"/>
                <w:sz w:val="16"/>
                <w:szCs w:val="16"/>
                <w:lang w:val="en-GB" w:eastAsia="ko-KR"/>
              </w:rPr>
            </w:pPr>
          </w:p>
          <w:p w:rsidR="00902D5A" w:rsidRPr="00902D5A" w:rsidRDefault="00902D5A" w:rsidP="00902D5A">
            <w:pPr>
              <w:spacing w:after="0" w:line="240" w:lineRule="auto"/>
              <w:rPr>
                <w:rFonts w:eastAsia="Batang" w:cs="Times New Roman"/>
                <w:sz w:val="16"/>
                <w:szCs w:val="16"/>
                <w:lang w:val="en-GB" w:eastAsia="en-US"/>
              </w:rPr>
            </w:pPr>
            <w:r w:rsidRPr="00902D5A">
              <w:rPr>
                <w:rFonts w:eastAsia="Batang" w:cs="Times New Roman"/>
                <w:sz w:val="16"/>
                <w:szCs w:val="16"/>
                <w:highlight w:val="green"/>
                <w:lang w:val="en-GB" w:eastAsia="en-US"/>
              </w:rPr>
              <w:t>Agreement:</w:t>
            </w:r>
          </w:p>
          <w:p w:rsidR="00902D5A" w:rsidRPr="00902D5A" w:rsidRDefault="00902D5A" w:rsidP="00902D5A">
            <w:pPr>
              <w:spacing w:after="0" w:line="240" w:lineRule="auto"/>
              <w:rPr>
                <w:rFonts w:eastAsia="Batang" w:cs="Times New Roman"/>
                <w:sz w:val="16"/>
                <w:szCs w:val="16"/>
                <w:lang w:val="en-GB" w:eastAsia="en-US"/>
              </w:rPr>
            </w:pPr>
            <w:r w:rsidRPr="00902D5A">
              <w:rPr>
                <w:rFonts w:eastAsia="Batang" w:cs="Times New Roman"/>
                <w:sz w:val="16"/>
                <w:szCs w:val="16"/>
                <w:lang w:val="en-GB" w:eastAsia="en-US"/>
              </w:rPr>
              <w:t>For positioning purposes, for UL Beam management/alignment towards serving and neighbouring cells, the following is supported (in addition to UE TX beam sweeping):</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Configuration of a spatial relation between a reference DL RS from serving or neighbouring cells and the target SRS.</w:t>
            </w:r>
          </w:p>
          <w:p w:rsidR="00902D5A" w:rsidRPr="00902D5A" w:rsidRDefault="00902D5A" w:rsidP="00902D5A">
            <w:pPr>
              <w:keepNext/>
              <w:keepLines/>
              <w:numPr>
                <w:ilvl w:val="1"/>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Reference DL RS that can be used include at least SSB. FFS on CSI-RS, DL-PRS.</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A fixed Tx beam for UL SRS transmissions across multiple UL SRS Resources, for both FR1 and FR2.</w:t>
            </w:r>
          </w:p>
          <w:p w:rsidR="00902D5A" w:rsidRPr="00902D5A" w:rsidRDefault="00902D5A" w:rsidP="00902D5A">
            <w:pPr>
              <w:keepNext/>
              <w:keepLines/>
              <w:numPr>
                <w:ilvl w:val="1"/>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FFS how the fixed beam is selected.</w:t>
            </w:r>
          </w:p>
          <w:p w:rsidR="00902D5A"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FFS on specification impacts.</w:t>
            </w:r>
          </w:p>
          <w:p w:rsidR="006A387F" w:rsidRPr="00902D5A" w:rsidRDefault="00902D5A" w:rsidP="00902D5A">
            <w:pPr>
              <w:keepNext/>
              <w:keepLines/>
              <w:numPr>
                <w:ilvl w:val="0"/>
                <w:numId w:val="37"/>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Note: In Rel-16, UE is not expected to transmit multiple SRS resources with different spatial relations in the same OFDM symbol (Rel-15 behaviour)</w:t>
            </w:r>
          </w:p>
        </w:tc>
      </w:tr>
    </w:tbl>
    <w:p w:rsidR="00035840" w:rsidRDefault="00035840" w:rsidP="00C63E6B">
      <w:pPr>
        <w:spacing w:after="0" w:line="240" w:lineRule="auto"/>
        <w:jc w:val="both"/>
        <w:rPr>
          <w:lang w:val="en-GB" w:eastAsia="zh-TW"/>
        </w:rPr>
      </w:pPr>
    </w:p>
    <w:p w:rsidR="00035840" w:rsidRDefault="00C63E6B" w:rsidP="00C63E6B">
      <w:pPr>
        <w:spacing w:after="0" w:line="240" w:lineRule="auto"/>
        <w:jc w:val="both"/>
        <w:rPr>
          <w:lang w:val="en-GB" w:eastAsia="zh-TW"/>
        </w:rPr>
      </w:pPr>
      <w:r>
        <w:rPr>
          <w:lang w:val="en-GB" w:eastAsia="zh-TW"/>
        </w:rPr>
        <w:t xml:space="preserve">In this contribution, we express our view for the </w:t>
      </w:r>
      <w:r w:rsidR="0065481F">
        <w:rPr>
          <w:lang w:val="en-GB" w:eastAsia="zh-TW"/>
        </w:rPr>
        <w:t xml:space="preserve">remaining </w:t>
      </w:r>
      <w:r>
        <w:rPr>
          <w:lang w:val="en-GB" w:eastAsia="zh-TW"/>
        </w:rPr>
        <w:t>issues.</w:t>
      </w:r>
    </w:p>
    <w:p w:rsidR="00035840" w:rsidRDefault="00035840" w:rsidP="00C63E6B">
      <w:pPr>
        <w:spacing w:after="0" w:line="240" w:lineRule="auto"/>
        <w:jc w:val="both"/>
        <w:rPr>
          <w:lang w:val="en-GB" w:eastAsia="zh-TW"/>
        </w:rPr>
      </w:pPr>
    </w:p>
    <w:p w:rsidR="00C25509" w:rsidRDefault="00FB085C" w:rsidP="00C25509">
      <w:pPr>
        <w:pStyle w:val="Heading1"/>
        <w:numPr>
          <w:ilvl w:val="0"/>
          <w:numId w:val="1"/>
        </w:numPr>
        <w:spacing w:before="0" w:after="120"/>
        <w:rPr>
          <w:rFonts w:eastAsiaTheme="minorEastAsia"/>
          <w:sz w:val="32"/>
          <w:szCs w:val="32"/>
          <w:lang w:eastAsia="zh-TW"/>
        </w:rPr>
      </w:pPr>
      <w:r>
        <w:rPr>
          <w:rFonts w:eastAsiaTheme="minorEastAsia"/>
          <w:sz w:val="32"/>
          <w:szCs w:val="32"/>
          <w:lang w:eastAsia="zh-TW"/>
        </w:rPr>
        <w:t>UE reception procedure</w:t>
      </w:r>
    </w:p>
    <w:p w:rsidR="005877E5" w:rsidRDefault="00106C01" w:rsidP="005877E5">
      <w:pPr>
        <w:pStyle w:val="Heading2"/>
        <w:spacing w:before="0" w:after="120"/>
        <w:ind w:left="1138" w:hanging="1138"/>
        <w:rPr>
          <w:rFonts w:cs="Arial"/>
          <w:b/>
          <w:sz w:val="28"/>
          <w:szCs w:val="28"/>
        </w:rPr>
      </w:pPr>
      <w:r>
        <w:rPr>
          <w:rFonts w:cs="Arial"/>
          <w:b/>
          <w:sz w:val="28"/>
          <w:szCs w:val="28"/>
        </w:rPr>
        <w:t>2</w:t>
      </w:r>
      <w:r w:rsidR="00657288">
        <w:rPr>
          <w:rFonts w:cs="Arial"/>
          <w:b/>
          <w:sz w:val="28"/>
          <w:szCs w:val="28"/>
        </w:rPr>
        <w:t>a</w:t>
      </w:r>
      <w:r w:rsidR="005877E5" w:rsidRPr="005877E5">
        <w:rPr>
          <w:rFonts w:cs="Arial"/>
          <w:b/>
          <w:sz w:val="28"/>
          <w:szCs w:val="28"/>
        </w:rPr>
        <w:t xml:space="preserve"> </w:t>
      </w:r>
      <w:r w:rsidR="004C570B">
        <w:rPr>
          <w:rFonts w:cs="Arial"/>
          <w:b/>
          <w:sz w:val="28"/>
          <w:szCs w:val="28"/>
        </w:rPr>
        <w:t>Intra-frequency measurement without gaps</w:t>
      </w:r>
    </w:p>
    <w:p w:rsidR="007A1619" w:rsidRDefault="008C23B3" w:rsidP="002D1C07">
      <w:pPr>
        <w:spacing w:after="0" w:line="240" w:lineRule="auto"/>
        <w:jc w:val="both"/>
        <w:rPr>
          <w:lang w:val="en-GB" w:eastAsia="en-US"/>
        </w:rPr>
      </w:pPr>
      <w:r>
        <w:rPr>
          <w:lang w:val="en-GB" w:eastAsia="en-US"/>
        </w:rPr>
        <w:t>A</w:t>
      </w:r>
      <w:r w:rsidR="00702408">
        <w:rPr>
          <w:lang w:val="en-GB" w:eastAsia="en-US"/>
        </w:rPr>
        <w:t xml:space="preserve">ccording to current agreement, the UE only measures PRS within the active BWP when there is no measurement gap. The UE may measure PRS outside the configured BWP within </w:t>
      </w:r>
      <w:r>
        <w:rPr>
          <w:lang w:val="en-GB" w:eastAsia="en-US"/>
        </w:rPr>
        <w:t xml:space="preserve">the </w:t>
      </w:r>
      <w:r w:rsidR="00702408">
        <w:rPr>
          <w:lang w:val="en-GB" w:eastAsia="en-US"/>
        </w:rPr>
        <w:t>measurement gap.</w:t>
      </w:r>
    </w:p>
    <w:p w:rsidR="008C23B3" w:rsidRDefault="008C23B3" w:rsidP="002D1C07">
      <w:pPr>
        <w:spacing w:after="0" w:line="240" w:lineRule="auto"/>
        <w:jc w:val="both"/>
        <w:rPr>
          <w:lang w:val="en-GB" w:eastAsia="en-US"/>
        </w:rPr>
      </w:pPr>
      <w:r>
        <w:rPr>
          <w:lang w:val="en-GB" w:eastAsia="en-US"/>
        </w:rPr>
        <w:t>We have raised the concern since in previous meeting that,</w:t>
      </w:r>
    </w:p>
    <w:p w:rsidR="008C0650" w:rsidRDefault="008C23B3" w:rsidP="002D1C07">
      <w:pPr>
        <w:pStyle w:val="ListParagraph"/>
        <w:numPr>
          <w:ilvl w:val="0"/>
          <w:numId w:val="38"/>
        </w:numPr>
        <w:spacing w:after="0" w:line="240" w:lineRule="auto"/>
        <w:jc w:val="both"/>
        <w:rPr>
          <w:lang w:val="en-GB" w:eastAsia="en-US"/>
        </w:rPr>
      </w:pPr>
      <w:r>
        <w:rPr>
          <w:lang w:val="en-GB" w:eastAsia="en-US"/>
        </w:rPr>
        <w:t>The BWP switching for SSB based intra-frequency measurement could be different from that for PRS based intra-frequency measurement</w:t>
      </w:r>
    </w:p>
    <w:p w:rsidR="008C23B3" w:rsidRPr="008C23B3" w:rsidRDefault="008C23B3" w:rsidP="002D1C07">
      <w:pPr>
        <w:pStyle w:val="ListParagraph"/>
        <w:numPr>
          <w:ilvl w:val="0"/>
          <w:numId w:val="38"/>
        </w:numPr>
        <w:spacing w:after="0" w:line="240" w:lineRule="auto"/>
        <w:jc w:val="both"/>
        <w:rPr>
          <w:lang w:val="en-GB" w:eastAsia="en-US"/>
        </w:rPr>
      </w:pPr>
      <w:r>
        <w:rPr>
          <w:lang w:val="en-GB" w:eastAsia="en-US"/>
        </w:rPr>
        <w:lastRenderedPageBreak/>
        <w:t xml:space="preserve">If the transmission occasion of PRS from a cell is not perfectly aligned with the measurement gap, which is UE specific, the measurement </w:t>
      </w:r>
      <w:r w:rsidR="008D7AC9">
        <w:rPr>
          <w:lang w:val="en-GB" w:eastAsia="en-US"/>
        </w:rPr>
        <w:t xml:space="preserve">and reporting </w:t>
      </w:r>
      <w:r>
        <w:rPr>
          <w:lang w:val="en-GB" w:eastAsia="en-US"/>
        </w:rPr>
        <w:t>delay needs to be further extended</w:t>
      </w:r>
    </w:p>
    <w:p w:rsidR="002D1C07" w:rsidRDefault="002D1C07" w:rsidP="002D1C07">
      <w:pPr>
        <w:spacing w:after="0" w:line="240" w:lineRule="auto"/>
        <w:jc w:val="both"/>
        <w:rPr>
          <w:lang w:val="en-GB" w:eastAsia="en-US"/>
        </w:rPr>
      </w:pPr>
    </w:p>
    <w:p w:rsidR="00777BC4" w:rsidRDefault="002D1C07" w:rsidP="002D1C07">
      <w:pPr>
        <w:spacing w:after="0" w:line="240" w:lineRule="auto"/>
        <w:jc w:val="both"/>
        <w:rPr>
          <w:lang w:val="en-GB" w:eastAsia="en-US"/>
        </w:rPr>
      </w:pPr>
      <w:r>
        <w:rPr>
          <w:lang w:val="en-GB" w:eastAsia="en-US"/>
        </w:rPr>
        <w:t>F</w:t>
      </w:r>
      <w:r w:rsidR="00893800">
        <w:rPr>
          <w:lang w:val="en-GB" w:eastAsia="en-US"/>
        </w:rPr>
        <w:t xml:space="preserve">or SSB based intra-frequency measurement, </w:t>
      </w:r>
      <w:r w:rsidR="00540FB0">
        <w:rPr>
          <w:lang w:val="en-GB" w:eastAsia="en-US"/>
        </w:rPr>
        <w:t xml:space="preserve">as long as SSB is not completely within the active BWP, </w:t>
      </w:r>
      <w:r w:rsidR="00893800">
        <w:rPr>
          <w:lang w:val="en-GB" w:eastAsia="en-US"/>
        </w:rPr>
        <w:t>the measurement is performed within the measurement gaps. It is due to the need of BWP switching of the UE</w:t>
      </w:r>
      <w:r w:rsidR="00777BC4">
        <w:rPr>
          <w:lang w:val="en-GB" w:eastAsia="en-US"/>
        </w:rPr>
        <w:t>.</w:t>
      </w:r>
      <w:r w:rsidR="00893800">
        <w:rPr>
          <w:lang w:val="en-GB" w:eastAsia="en-US"/>
        </w:rPr>
        <w:t xml:space="preserve"> When SSB is completely within the active BWP, </w:t>
      </w:r>
      <w:r w:rsidR="0000043E">
        <w:rPr>
          <w:lang w:val="en-GB" w:eastAsia="en-US"/>
        </w:rPr>
        <w:t>the measurement can</w:t>
      </w:r>
      <w:r w:rsidR="008C23B3">
        <w:rPr>
          <w:lang w:val="en-GB" w:eastAsia="en-US"/>
        </w:rPr>
        <w:t xml:space="preserve"> be performed without the gaps.</w:t>
      </w:r>
    </w:p>
    <w:p w:rsidR="008C23B3" w:rsidRDefault="008C23B3" w:rsidP="002D1C07">
      <w:pPr>
        <w:spacing w:after="0" w:line="240" w:lineRule="auto"/>
        <w:jc w:val="both"/>
        <w:rPr>
          <w:lang w:val="en-GB" w:eastAsia="en-US"/>
        </w:rPr>
      </w:pPr>
    </w:p>
    <w:p w:rsidR="00A34EBC" w:rsidRDefault="00A34EBC" w:rsidP="002D1C07">
      <w:pPr>
        <w:spacing w:after="120" w:line="240" w:lineRule="auto"/>
        <w:jc w:val="both"/>
        <w:rPr>
          <w:lang w:val="en-GB" w:eastAsia="en-US"/>
        </w:rPr>
      </w:pPr>
      <w:r>
        <w:rPr>
          <w:lang w:val="en-GB" w:eastAsia="en-US"/>
        </w:rPr>
        <w:t xml:space="preserve">BWP </w:t>
      </w:r>
      <w:r w:rsidR="00913A30">
        <w:rPr>
          <w:lang w:val="en-GB" w:eastAsia="en-US"/>
        </w:rPr>
        <w:t xml:space="preserve">switching </w:t>
      </w:r>
      <w:r>
        <w:rPr>
          <w:lang w:val="en-GB" w:eastAsia="en-US"/>
        </w:rPr>
        <w:t>includes, the adjustment</w:t>
      </w:r>
      <w:r w:rsidR="00C469CB">
        <w:rPr>
          <w:lang w:val="en-GB" w:eastAsia="en-US"/>
        </w:rPr>
        <w:t xml:space="preserve"> of center frequency and/or the </w:t>
      </w:r>
      <w:r>
        <w:rPr>
          <w:lang w:val="en-GB" w:eastAsia="en-US"/>
        </w:rPr>
        <w:t>bandwidth</w:t>
      </w:r>
      <w:r w:rsidR="00C469CB">
        <w:rPr>
          <w:lang w:val="en-GB" w:eastAsia="en-US"/>
        </w:rPr>
        <w:t xml:space="preserve"> adaptation. The </w:t>
      </w:r>
      <w:r w:rsidR="00907077">
        <w:rPr>
          <w:lang w:val="en-GB" w:eastAsia="en-US"/>
        </w:rPr>
        <w:t>bandwidth</w:t>
      </w:r>
      <w:r w:rsidR="00C469CB">
        <w:rPr>
          <w:lang w:val="en-GB" w:eastAsia="en-US"/>
        </w:rPr>
        <w:t xml:space="preserve"> adaptation </w:t>
      </w:r>
      <w:r>
        <w:rPr>
          <w:lang w:val="en-GB" w:eastAsia="en-US"/>
        </w:rPr>
        <w:t>and without the adjustment of center frequency may require a shorter time period. In R4-1702029, there is the following observation,</w:t>
      </w:r>
    </w:p>
    <w:tbl>
      <w:tblPr>
        <w:tblStyle w:val="TableGrid"/>
        <w:tblW w:w="0" w:type="auto"/>
        <w:tblLook w:val="04A0" w:firstRow="1" w:lastRow="0" w:firstColumn="1" w:lastColumn="0" w:noHBand="0" w:noVBand="1"/>
      </w:tblPr>
      <w:tblGrid>
        <w:gridCol w:w="9629"/>
      </w:tblGrid>
      <w:tr w:rsidR="00A34EBC" w:rsidTr="00987F7C">
        <w:tc>
          <w:tcPr>
            <w:tcW w:w="9629" w:type="dxa"/>
          </w:tcPr>
          <w:p w:rsidR="00A34EBC" w:rsidRPr="004872DD" w:rsidRDefault="00A34EBC" w:rsidP="00987F7C">
            <w:pPr>
              <w:spacing w:after="0" w:line="240" w:lineRule="auto"/>
              <w:rPr>
                <w:rFonts w:eastAsia="Times New Roman" w:cs="Times New Roman"/>
              </w:rPr>
            </w:pPr>
            <w:r w:rsidRPr="004872DD">
              <w:rPr>
                <w:rFonts w:ascii="Times New Roman" w:eastAsia="Times New Roman" w:hAnsi="Times New Roman" w:cs="Times New Roman"/>
                <w:sz w:val="24"/>
                <w:szCs w:val="24"/>
              </w:rPr>
              <w:t>–      </w:t>
            </w:r>
            <w:r w:rsidRPr="004872DD">
              <w:rPr>
                <w:rFonts w:eastAsia="Times New Roman" w:cs="Times New Roman"/>
              </w:rPr>
              <w:t xml:space="preserve">Transition time (RF aspects) </w:t>
            </w:r>
          </w:p>
          <w:p w:rsidR="00A34EBC" w:rsidRPr="00C469CB" w:rsidRDefault="00A34EBC" w:rsidP="00C469CB">
            <w:pPr>
              <w:spacing w:after="0" w:line="240" w:lineRule="auto"/>
              <w:ind w:left="852"/>
              <w:rPr>
                <w:rFonts w:eastAsia="Times New Roman" w:cs="Times New Roman"/>
              </w:rPr>
            </w:pPr>
            <w:r w:rsidRPr="004872DD">
              <w:rPr>
                <w:rFonts w:eastAsia="Times New Roman" w:cs="Times New Roman"/>
              </w:rPr>
              <w:t xml:space="preserve">•       For intra-band operation, at least for sub6, the transition time can be up to </w:t>
            </w:r>
            <w:r w:rsidRPr="004872DD">
              <w:rPr>
                <w:rFonts w:eastAsia="Times New Roman" w:cs="Times New Roman"/>
                <w:b/>
              </w:rPr>
              <w:t>20 µs</w:t>
            </w:r>
            <w:r w:rsidRPr="004872DD">
              <w:rPr>
                <w:rFonts w:eastAsia="Times New Roman" w:cs="Times New Roman"/>
              </w:rPr>
              <w:t xml:space="preserve"> if the center frequency is the same before and after the bandwidth adaptation, regardless other conditions listed in the LS</w:t>
            </w:r>
            <w:r w:rsidRPr="004872DD">
              <w:rPr>
                <w:rFonts w:eastAsia="Times New Roman" w:cs="Times New Roman"/>
                <w:lang w:eastAsia="zh-TW"/>
              </w:rPr>
              <w:t xml:space="preserve"> </w:t>
            </w:r>
          </w:p>
        </w:tc>
      </w:tr>
    </w:tbl>
    <w:p w:rsidR="00745F7F" w:rsidRDefault="00245E70" w:rsidP="00FB1A2A">
      <w:pPr>
        <w:spacing w:before="120" w:after="0" w:line="240" w:lineRule="auto"/>
        <w:jc w:val="both"/>
        <w:rPr>
          <w:lang w:val="en-GB" w:eastAsia="en-US"/>
        </w:rPr>
      </w:pPr>
      <w:r>
        <w:rPr>
          <w:lang w:val="en-GB" w:eastAsia="en-US"/>
        </w:rPr>
        <w:t xml:space="preserve">PRS </w:t>
      </w:r>
      <w:r w:rsidR="009B77D1">
        <w:rPr>
          <w:lang w:val="en-GB" w:eastAsia="en-US"/>
        </w:rPr>
        <w:t xml:space="preserve">would be configured with </w:t>
      </w:r>
      <w:r w:rsidR="00745F7F">
        <w:rPr>
          <w:lang w:val="en-GB" w:eastAsia="en-US"/>
        </w:rPr>
        <w:t>wider</w:t>
      </w:r>
      <w:r w:rsidR="009B77D1">
        <w:rPr>
          <w:lang w:val="en-GB" w:eastAsia="en-US"/>
        </w:rPr>
        <w:t xml:space="preserve"> transmission </w:t>
      </w:r>
      <w:r w:rsidR="00745F7F">
        <w:rPr>
          <w:lang w:val="en-GB" w:eastAsia="en-US"/>
        </w:rPr>
        <w:t xml:space="preserve">bandwidth than SSB. </w:t>
      </w:r>
      <w:r w:rsidR="003631C1">
        <w:rPr>
          <w:lang w:val="en-GB" w:eastAsia="en-US"/>
        </w:rPr>
        <w:t xml:space="preserve">For </w:t>
      </w:r>
      <w:r w:rsidR="00DE0786">
        <w:rPr>
          <w:lang w:val="en-GB" w:eastAsia="en-US"/>
        </w:rPr>
        <w:t xml:space="preserve">PRS </w:t>
      </w:r>
      <w:r w:rsidR="00745F7F">
        <w:rPr>
          <w:lang w:val="en-GB" w:eastAsia="en-US"/>
        </w:rPr>
        <w:t>based intra-frequency measurement</w:t>
      </w:r>
      <w:r w:rsidR="003631C1">
        <w:rPr>
          <w:lang w:val="en-GB" w:eastAsia="en-US"/>
        </w:rPr>
        <w:t xml:space="preserve">, it is very possible that </w:t>
      </w:r>
      <w:r w:rsidR="00745F7F">
        <w:rPr>
          <w:lang w:val="en-GB" w:eastAsia="en-US"/>
        </w:rPr>
        <w:t xml:space="preserve">the active BWP may not fully cover </w:t>
      </w:r>
      <w:r w:rsidR="00DE0786">
        <w:rPr>
          <w:lang w:val="en-GB" w:eastAsia="en-US"/>
        </w:rPr>
        <w:t xml:space="preserve">all </w:t>
      </w:r>
      <w:r w:rsidR="00745F7F">
        <w:rPr>
          <w:lang w:val="en-GB" w:eastAsia="en-US"/>
        </w:rPr>
        <w:t>the PRS transmission bandwidth</w:t>
      </w:r>
      <w:r w:rsidR="003631C1">
        <w:rPr>
          <w:lang w:val="en-GB" w:eastAsia="en-US"/>
        </w:rPr>
        <w:t>, and t</w:t>
      </w:r>
      <w:r w:rsidR="006D5088">
        <w:rPr>
          <w:lang w:val="en-GB" w:eastAsia="en-US"/>
        </w:rPr>
        <w:t xml:space="preserve">he BWP </w:t>
      </w:r>
      <w:r w:rsidR="009B77D1">
        <w:rPr>
          <w:lang w:val="en-GB" w:eastAsia="en-US"/>
        </w:rPr>
        <w:t xml:space="preserve">switching </w:t>
      </w:r>
      <w:r w:rsidR="006D5088">
        <w:rPr>
          <w:lang w:val="en-GB" w:eastAsia="en-US"/>
        </w:rPr>
        <w:t xml:space="preserve">in this case </w:t>
      </w:r>
      <w:r w:rsidR="003631C1">
        <w:rPr>
          <w:lang w:val="en-GB" w:eastAsia="en-US"/>
        </w:rPr>
        <w:t xml:space="preserve">actually </w:t>
      </w:r>
      <w:r w:rsidR="00013735">
        <w:rPr>
          <w:lang w:val="en-GB" w:eastAsia="en-US"/>
        </w:rPr>
        <w:t xml:space="preserve">doesn’t need to </w:t>
      </w:r>
      <w:r w:rsidR="006D5088">
        <w:rPr>
          <w:lang w:val="en-GB" w:eastAsia="en-US"/>
        </w:rPr>
        <w:t xml:space="preserve">adjust the center frequency, instead </w:t>
      </w:r>
      <w:r w:rsidR="00DE0786">
        <w:rPr>
          <w:lang w:val="en-GB" w:eastAsia="en-US"/>
        </w:rPr>
        <w:t xml:space="preserve">only the </w:t>
      </w:r>
      <w:r w:rsidR="006D5088">
        <w:rPr>
          <w:lang w:val="en-GB" w:eastAsia="en-US"/>
        </w:rPr>
        <w:t>RF filter bandwidth</w:t>
      </w:r>
      <w:r w:rsidR="00DE0786">
        <w:rPr>
          <w:lang w:val="en-GB" w:eastAsia="en-US"/>
        </w:rPr>
        <w:t xml:space="preserve"> adjustment</w:t>
      </w:r>
      <w:r w:rsidR="003631C1">
        <w:rPr>
          <w:lang w:val="en-GB" w:eastAsia="en-US"/>
        </w:rPr>
        <w:t xml:space="preserve"> (bandwidth adaption)</w:t>
      </w:r>
      <w:r w:rsidR="00DE0786">
        <w:rPr>
          <w:lang w:val="en-GB" w:eastAsia="en-US"/>
        </w:rPr>
        <w:t xml:space="preserve"> is needed</w:t>
      </w:r>
      <w:r w:rsidR="003631C1">
        <w:rPr>
          <w:lang w:val="en-GB" w:eastAsia="en-US"/>
        </w:rPr>
        <w:t>. T</w:t>
      </w:r>
      <w:r w:rsidR="0048461A">
        <w:rPr>
          <w:lang w:val="en-GB" w:eastAsia="en-US"/>
        </w:rPr>
        <w:t>he new BWP</w:t>
      </w:r>
      <w:r w:rsidR="003631C1">
        <w:rPr>
          <w:lang w:val="en-GB" w:eastAsia="en-US"/>
        </w:rPr>
        <w:t xml:space="preserve"> for PRS measurement </w:t>
      </w:r>
      <w:r w:rsidR="00DE0786">
        <w:rPr>
          <w:lang w:val="en-GB" w:eastAsia="en-US"/>
        </w:rPr>
        <w:t xml:space="preserve">also includes </w:t>
      </w:r>
      <w:r w:rsidR="00094ACC">
        <w:rPr>
          <w:lang w:val="en-GB" w:eastAsia="en-US"/>
        </w:rPr>
        <w:t>the original</w:t>
      </w:r>
      <w:r w:rsidR="003631C1">
        <w:rPr>
          <w:lang w:val="en-GB" w:eastAsia="en-US"/>
        </w:rPr>
        <w:t xml:space="preserve"> (active) </w:t>
      </w:r>
      <w:r w:rsidR="00094ACC">
        <w:rPr>
          <w:lang w:val="en-GB" w:eastAsia="en-US"/>
        </w:rPr>
        <w:t>BWP BW.</w:t>
      </w:r>
    </w:p>
    <w:p w:rsidR="003631C1" w:rsidRDefault="003631C1" w:rsidP="00FB1A2A">
      <w:pPr>
        <w:spacing w:before="120" w:after="0" w:line="240" w:lineRule="auto"/>
        <w:jc w:val="both"/>
        <w:rPr>
          <w:lang w:val="en-GB" w:eastAsia="en-US"/>
        </w:rPr>
      </w:pPr>
      <w:r>
        <w:rPr>
          <w:lang w:val="en-GB" w:eastAsia="en-US"/>
        </w:rPr>
        <w:t xml:space="preserve">There is a case that </w:t>
      </w:r>
      <w:r w:rsidR="00E73164">
        <w:rPr>
          <w:lang w:val="en-GB" w:eastAsia="en-US"/>
        </w:rPr>
        <w:t xml:space="preserve">when </w:t>
      </w:r>
      <w:r>
        <w:rPr>
          <w:lang w:val="en-GB" w:eastAsia="en-US"/>
        </w:rPr>
        <w:t xml:space="preserve">only one BWP is configured to the UE, and </w:t>
      </w:r>
      <w:r w:rsidR="00E73164">
        <w:rPr>
          <w:lang w:val="en-GB" w:eastAsia="en-US"/>
        </w:rPr>
        <w:t xml:space="preserve">when </w:t>
      </w:r>
      <w:r>
        <w:rPr>
          <w:lang w:val="en-GB" w:eastAsia="en-US"/>
        </w:rPr>
        <w:t>the BWP switching is through the RRC re-configuration. Then, it is possible that the DL active BWP is s</w:t>
      </w:r>
      <w:r w:rsidR="00E73164">
        <w:rPr>
          <w:lang w:val="en-GB" w:eastAsia="en-US"/>
        </w:rPr>
        <w:t>mall before the PRS measurement.</w:t>
      </w:r>
    </w:p>
    <w:p w:rsidR="007A6D43" w:rsidRDefault="007A6D43" w:rsidP="00100300">
      <w:pPr>
        <w:spacing w:after="0" w:line="240" w:lineRule="auto"/>
        <w:jc w:val="both"/>
        <w:rPr>
          <w:lang w:val="en-GB" w:eastAsia="en-US"/>
        </w:rPr>
      </w:pPr>
    </w:p>
    <w:p w:rsidR="005A08E1" w:rsidRPr="003D4ADB" w:rsidRDefault="00E73164" w:rsidP="003D4ADB">
      <w:pPr>
        <w:spacing w:after="120" w:line="240" w:lineRule="auto"/>
        <w:jc w:val="both"/>
        <w:rPr>
          <w:lang w:val="en-GB" w:eastAsia="en-US"/>
        </w:rPr>
      </w:pPr>
      <w:r>
        <w:rPr>
          <w:lang w:val="en-GB" w:eastAsia="en-US"/>
        </w:rPr>
        <w:t xml:space="preserve">When only a </w:t>
      </w:r>
      <w:r w:rsidR="00C71DF2">
        <w:rPr>
          <w:lang w:val="en-GB" w:eastAsia="en-US"/>
        </w:rPr>
        <w:t xml:space="preserve">small </w:t>
      </w:r>
      <w:r w:rsidR="008F66D5">
        <w:rPr>
          <w:lang w:val="en-GB" w:eastAsia="en-US"/>
        </w:rPr>
        <w:t xml:space="preserve">time </w:t>
      </w:r>
      <w:r w:rsidR="00C71DF2">
        <w:rPr>
          <w:lang w:val="en-GB" w:eastAsia="en-US"/>
        </w:rPr>
        <w:t>period</w:t>
      </w:r>
      <w:r w:rsidR="008F66D5">
        <w:rPr>
          <w:lang w:val="en-GB" w:eastAsia="en-US"/>
        </w:rPr>
        <w:t xml:space="preserve"> </w:t>
      </w:r>
      <w:r w:rsidR="00C71DF2">
        <w:rPr>
          <w:lang w:val="en-GB" w:eastAsia="en-US"/>
        </w:rPr>
        <w:t xml:space="preserve">for transition </w:t>
      </w:r>
      <w:r w:rsidR="00F15A74">
        <w:rPr>
          <w:lang w:val="en-GB" w:eastAsia="en-US"/>
        </w:rPr>
        <w:t>is n</w:t>
      </w:r>
      <w:r w:rsidR="00C71DF2">
        <w:rPr>
          <w:lang w:val="en-GB" w:eastAsia="en-US"/>
        </w:rPr>
        <w:t xml:space="preserve">eeded for bandwidth </w:t>
      </w:r>
      <w:r w:rsidR="003631C1">
        <w:rPr>
          <w:lang w:val="en-GB" w:eastAsia="en-US"/>
        </w:rPr>
        <w:t xml:space="preserve">adaptation </w:t>
      </w:r>
      <w:r w:rsidR="00C71DF2">
        <w:rPr>
          <w:lang w:val="en-GB" w:eastAsia="en-US"/>
        </w:rPr>
        <w:t xml:space="preserve">without </w:t>
      </w:r>
      <w:r>
        <w:rPr>
          <w:lang w:val="en-GB" w:eastAsia="en-US"/>
        </w:rPr>
        <w:t xml:space="preserve">the </w:t>
      </w:r>
      <w:r w:rsidR="00C71DF2">
        <w:rPr>
          <w:lang w:val="en-GB" w:eastAsia="en-US"/>
        </w:rPr>
        <w:t>ce</w:t>
      </w:r>
      <w:r w:rsidR="008C23B3">
        <w:rPr>
          <w:lang w:val="en-GB" w:eastAsia="en-US"/>
        </w:rPr>
        <w:t>nter frequency change</w:t>
      </w:r>
      <w:r w:rsidR="00B81D67">
        <w:rPr>
          <w:lang w:val="en-GB" w:eastAsia="en-US"/>
        </w:rPr>
        <w:t xml:space="preserve">, </w:t>
      </w:r>
      <w:r w:rsidR="008C23B3">
        <w:rPr>
          <w:lang w:val="en-GB" w:eastAsia="en-US"/>
        </w:rPr>
        <w:t xml:space="preserve">we don’t see the </w:t>
      </w:r>
      <w:r>
        <w:rPr>
          <w:lang w:val="en-GB" w:eastAsia="en-US"/>
        </w:rPr>
        <w:t xml:space="preserve">particular </w:t>
      </w:r>
      <w:r w:rsidR="008C23B3">
        <w:rPr>
          <w:lang w:val="en-GB" w:eastAsia="en-US"/>
        </w:rPr>
        <w:t xml:space="preserve">need that </w:t>
      </w:r>
      <w:r w:rsidR="00B81D67">
        <w:rPr>
          <w:lang w:val="en-GB" w:eastAsia="en-US"/>
        </w:rPr>
        <w:t xml:space="preserve">a </w:t>
      </w:r>
      <w:r w:rsidR="008C23B3">
        <w:rPr>
          <w:lang w:val="en-GB" w:eastAsia="en-US"/>
        </w:rPr>
        <w:t xml:space="preserve">larger PRS bandwidth measurement </w:t>
      </w:r>
      <w:r>
        <w:rPr>
          <w:lang w:val="en-GB" w:eastAsia="en-US"/>
        </w:rPr>
        <w:t xml:space="preserve">may only be performed </w:t>
      </w:r>
      <w:r w:rsidR="008C23B3">
        <w:rPr>
          <w:lang w:val="en-GB" w:eastAsia="en-US"/>
        </w:rPr>
        <w:t>within the measurement gap.</w:t>
      </w:r>
    </w:p>
    <w:p w:rsidR="007C110E" w:rsidRDefault="007C110E" w:rsidP="00C37EFE">
      <w:pPr>
        <w:spacing w:after="0" w:line="240" w:lineRule="auto"/>
        <w:jc w:val="both"/>
      </w:pPr>
      <w:r>
        <w:rPr>
          <w:lang w:val="en-GB" w:eastAsia="en-US"/>
        </w:rPr>
        <w:t xml:space="preserve">Assigning more measurement objects to be measured </w:t>
      </w:r>
      <w:r w:rsidR="005E795E">
        <w:rPr>
          <w:lang w:val="en-GB" w:eastAsia="en-US"/>
        </w:rPr>
        <w:t xml:space="preserve">within </w:t>
      </w:r>
      <w:r>
        <w:rPr>
          <w:lang w:val="en-GB" w:eastAsia="en-US"/>
        </w:rPr>
        <w:t xml:space="preserve">the measurement gaps may lead to the increase of measurement gap </w:t>
      </w:r>
      <w:r w:rsidR="00FF3DF4">
        <w:rPr>
          <w:lang w:val="en-GB" w:eastAsia="en-US"/>
        </w:rPr>
        <w:t>occ</w:t>
      </w:r>
      <w:r w:rsidR="00303470">
        <w:rPr>
          <w:lang w:val="en-GB" w:eastAsia="en-US"/>
        </w:rPr>
        <w:t>a</w:t>
      </w:r>
      <w:r w:rsidR="00FF3DF4">
        <w:rPr>
          <w:lang w:val="en-GB" w:eastAsia="en-US"/>
        </w:rPr>
        <w:t xml:space="preserve">sions </w:t>
      </w:r>
      <w:r>
        <w:rPr>
          <w:lang w:val="en-GB" w:eastAsia="en-US"/>
        </w:rPr>
        <w:t xml:space="preserve">by shortening the periodicity and/or the </w:t>
      </w:r>
      <w:r w:rsidR="007F32F0">
        <w:rPr>
          <w:lang w:val="en-GB" w:eastAsia="en-US"/>
        </w:rPr>
        <w:t xml:space="preserve">increase of the </w:t>
      </w:r>
      <w:r>
        <w:rPr>
          <w:lang w:val="en-GB" w:eastAsia="en-US"/>
        </w:rPr>
        <w:t>reporting delay of the measurement.</w:t>
      </w:r>
      <w:r w:rsidR="001A2620">
        <w:rPr>
          <w:lang w:val="en-GB" w:eastAsia="en-US"/>
        </w:rPr>
        <w:t xml:space="preserve"> Note that the </w:t>
      </w:r>
      <w:r w:rsidR="001A2620" w:rsidRPr="003445FB">
        <w:rPr>
          <w:rFonts w:cs="v4.2.0"/>
        </w:rPr>
        <w:t xml:space="preserve">network </w:t>
      </w:r>
      <w:r w:rsidR="001032D3">
        <w:rPr>
          <w:rFonts w:cs="v4.2.0"/>
        </w:rPr>
        <w:t xml:space="preserve">may only </w:t>
      </w:r>
      <w:r w:rsidR="001A2620" w:rsidRPr="003445FB">
        <w:rPr>
          <w:rFonts w:cs="v4.2.0"/>
        </w:rPr>
        <w:t xml:space="preserve">provide </w:t>
      </w:r>
      <w:r w:rsidR="001A2620" w:rsidRPr="003445FB">
        <w:t>a single per-UE measurement gap pattern for concurrent monitoring of all frequency layers</w:t>
      </w:r>
      <w:r w:rsidR="001032D3">
        <w:t>.</w:t>
      </w:r>
    </w:p>
    <w:p w:rsidR="00EF3910" w:rsidRDefault="00EF3910" w:rsidP="00C37EFE">
      <w:pPr>
        <w:spacing w:after="0" w:line="240" w:lineRule="auto"/>
        <w:jc w:val="both"/>
      </w:pPr>
    </w:p>
    <w:p w:rsidR="005A08E1" w:rsidRDefault="005A08E1" w:rsidP="00C37EFE">
      <w:pPr>
        <w:spacing w:after="0" w:line="240" w:lineRule="auto"/>
        <w:jc w:val="both"/>
      </w:pPr>
      <w:r>
        <w:t xml:space="preserve">So we would like to consider </w:t>
      </w:r>
      <w:r w:rsidRPr="005E20FF">
        <w:rPr>
          <w:lang w:eastAsia="en-US"/>
        </w:rPr>
        <w:t>PRS based intra-frequency measurement without gaps by incorporating the short transition time for bandwidth adaption with</w:t>
      </w:r>
      <w:r>
        <w:rPr>
          <w:lang w:eastAsia="en-US"/>
        </w:rPr>
        <w:t>out</w:t>
      </w:r>
      <w:r w:rsidRPr="005E20FF">
        <w:rPr>
          <w:lang w:eastAsia="en-US"/>
        </w:rPr>
        <w:t xml:space="preserve"> center frequency change</w:t>
      </w:r>
      <w:r>
        <w:rPr>
          <w:lang w:eastAsia="en-US"/>
        </w:rPr>
        <w:t>.</w:t>
      </w:r>
    </w:p>
    <w:p w:rsidR="0040791D" w:rsidRDefault="003A6FFD" w:rsidP="001032D3">
      <w:pPr>
        <w:spacing w:before="120" w:after="0" w:line="240" w:lineRule="auto"/>
        <w:jc w:val="both"/>
        <w:rPr>
          <w:lang w:val="en-GB" w:eastAsia="en-US"/>
        </w:rPr>
      </w:pPr>
      <w:r>
        <w:rPr>
          <w:lang w:val="en-GB" w:eastAsia="en-US"/>
        </w:rPr>
        <w:t xml:space="preserve">An example is given in Fig. </w:t>
      </w:r>
      <w:r w:rsidR="004E199D">
        <w:rPr>
          <w:lang w:val="en-GB" w:eastAsia="en-US"/>
        </w:rPr>
        <w:t>2a-</w:t>
      </w:r>
      <w:r>
        <w:rPr>
          <w:lang w:val="en-GB" w:eastAsia="en-US"/>
        </w:rPr>
        <w:t xml:space="preserve">1, showing that when performing the </w:t>
      </w:r>
      <w:r w:rsidR="00907077">
        <w:rPr>
          <w:lang w:val="en-GB" w:eastAsia="en-US"/>
        </w:rPr>
        <w:t>neighbouring</w:t>
      </w:r>
      <w:r>
        <w:rPr>
          <w:lang w:val="en-GB" w:eastAsia="en-US"/>
        </w:rPr>
        <w:t xml:space="preserve"> cell PRS measurement in slot N, </w:t>
      </w:r>
      <w:r w:rsidR="0040791D">
        <w:rPr>
          <w:lang w:val="en-GB" w:eastAsia="en-US"/>
        </w:rPr>
        <w:t xml:space="preserve">the PDSCH duration in slot N-1 can be shortened so that the UE may have one or two symbol time for </w:t>
      </w:r>
      <w:r w:rsidR="0013322B">
        <w:rPr>
          <w:lang w:val="en-GB" w:eastAsia="en-US"/>
        </w:rPr>
        <w:t>bandwidth adaption. If there is PDSCH scheduling in slot N+1, the type-B PDSCH transmission can be applied so that the UE may have one or two symbol time to switch back to the original active DL BWP.</w:t>
      </w:r>
    </w:p>
    <w:p w:rsidR="00EF3910" w:rsidRDefault="003A6FFD" w:rsidP="001032D3">
      <w:pPr>
        <w:spacing w:before="120" w:after="0" w:line="240" w:lineRule="auto"/>
        <w:jc w:val="both"/>
        <w:rPr>
          <w:lang w:val="en-GB" w:eastAsia="en-US"/>
        </w:rPr>
      </w:pPr>
      <w:r>
        <w:rPr>
          <w:lang w:val="en-GB" w:eastAsia="en-US"/>
        </w:rPr>
        <w:t xml:space="preserve"> </w:t>
      </w:r>
    </w:p>
    <w:p w:rsidR="001A2620" w:rsidRDefault="00C06A04" w:rsidP="001032D3">
      <w:pPr>
        <w:spacing w:after="0" w:line="240" w:lineRule="auto"/>
        <w:jc w:val="both"/>
        <w:rPr>
          <w:lang w:val="en-GB" w:eastAsia="en-US"/>
        </w:rPr>
      </w:pPr>
      <w:r>
        <w:rPr>
          <w:lang w:val="en-GB" w:eastAsia="en-US"/>
        </w:rPr>
        <w:lastRenderedPageBreak/>
        <w:t xml:space="preserve">  </w:t>
      </w:r>
      <w:r>
        <w:rPr>
          <w:noProof/>
        </w:rPr>
        <w:drawing>
          <wp:inline distT="0" distB="0" distL="0" distR="0" wp14:anchorId="006298DC">
            <wp:extent cx="5074920" cy="25694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4920" cy="2569464"/>
                    </a:xfrm>
                    <a:prstGeom prst="rect">
                      <a:avLst/>
                    </a:prstGeom>
                    <a:noFill/>
                  </pic:spPr>
                </pic:pic>
              </a:graphicData>
            </a:graphic>
          </wp:inline>
        </w:drawing>
      </w:r>
    </w:p>
    <w:p w:rsidR="00C06A04" w:rsidRPr="00F74DA4" w:rsidRDefault="00C06A04" w:rsidP="00F74DA4">
      <w:pPr>
        <w:spacing w:after="0" w:line="240" w:lineRule="auto"/>
        <w:jc w:val="center"/>
        <w:rPr>
          <w:sz w:val="20"/>
          <w:szCs w:val="20"/>
          <w:lang w:val="en-GB" w:eastAsia="en-US"/>
        </w:rPr>
      </w:pPr>
      <w:r w:rsidRPr="00F74DA4">
        <w:rPr>
          <w:sz w:val="20"/>
          <w:szCs w:val="20"/>
          <w:lang w:val="en-GB" w:eastAsia="en-US"/>
        </w:rPr>
        <w:t xml:space="preserve">Figure </w:t>
      </w:r>
      <w:r w:rsidR="00F74DA4" w:rsidRPr="00F74DA4">
        <w:rPr>
          <w:sz w:val="20"/>
          <w:szCs w:val="20"/>
          <w:lang w:val="en-GB" w:eastAsia="en-US"/>
        </w:rPr>
        <w:t>2a-</w:t>
      </w:r>
      <w:r w:rsidRPr="00F74DA4">
        <w:rPr>
          <w:sz w:val="20"/>
          <w:szCs w:val="20"/>
          <w:lang w:val="en-GB" w:eastAsia="en-US"/>
        </w:rPr>
        <w:t>1,</w:t>
      </w:r>
    </w:p>
    <w:p w:rsidR="00C06A04" w:rsidRDefault="00C06A04" w:rsidP="001032D3">
      <w:pPr>
        <w:spacing w:after="0" w:line="240" w:lineRule="auto"/>
        <w:jc w:val="both"/>
        <w:rPr>
          <w:lang w:val="en-GB" w:eastAsia="en-US"/>
        </w:rPr>
      </w:pPr>
    </w:p>
    <w:p w:rsidR="00F826F0" w:rsidRDefault="004A5AF6" w:rsidP="00100300">
      <w:pPr>
        <w:spacing w:after="0" w:line="240" w:lineRule="auto"/>
        <w:jc w:val="both"/>
        <w:rPr>
          <w:lang w:val="en-GB" w:eastAsia="en-US"/>
        </w:rPr>
      </w:pPr>
      <w:r w:rsidRPr="009F0594">
        <w:rPr>
          <w:b/>
          <w:lang w:val="en-GB" w:eastAsia="en-US"/>
        </w:rPr>
        <w:t xml:space="preserve">Observation </w:t>
      </w:r>
      <w:r w:rsidR="00106C01">
        <w:rPr>
          <w:b/>
          <w:lang w:val="en-GB" w:eastAsia="en-US"/>
        </w:rPr>
        <w:t>2a-</w:t>
      </w:r>
      <w:r w:rsidRPr="009F0594">
        <w:rPr>
          <w:b/>
          <w:lang w:val="en-GB" w:eastAsia="en-US"/>
        </w:rPr>
        <w:t>1</w:t>
      </w:r>
      <w:r>
        <w:rPr>
          <w:lang w:val="en-GB" w:eastAsia="en-US"/>
        </w:rPr>
        <w:t xml:space="preserve">: BWP adjustment includes, the adjustment of center frequency and/or the </w:t>
      </w:r>
      <w:r w:rsidR="009F0594">
        <w:rPr>
          <w:lang w:val="en-GB" w:eastAsia="en-US"/>
        </w:rPr>
        <w:t>bandwidth adaptation</w:t>
      </w:r>
    </w:p>
    <w:p w:rsidR="00CA049B" w:rsidRDefault="00CA049B" w:rsidP="00100300">
      <w:pPr>
        <w:spacing w:after="0" w:line="240" w:lineRule="auto"/>
        <w:jc w:val="both"/>
        <w:rPr>
          <w:lang w:eastAsia="en-US"/>
        </w:rPr>
      </w:pPr>
    </w:p>
    <w:p w:rsidR="004A5AF6" w:rsidRDefault="00CA049B" w:rsidP="00100300">
      <w:pPr>
        <w:spacing w:after="0" w:line="240" w:lineRule="auto"/>
        <w:jc w:val="both"/>
        <w:rPr>
          <w:lang w:val="en-GB" w:eastAsia="en-US"/>
        </w:rPr>
      </w:pPr>
      <w:r w:rsidRPr="009F0594">
        <w:rPr>
          <w:b/>
          <w:lang w:val="en-GB" w:eastAsia="en-US"/>
        </w:rPr>
        <w:t xml:space="preserve">Observation </w:t>
      </w:r>
      <w:r>
        <w:rPr>
          <w:b/>
          <w:lang w:val="en-GB" w:eastAsia="en-US"/>
        </w:rPr>
        <w:t>2a-</w:t>
      </w:r>
      <w:r w:rsidR="00BB678E">
        <w:rPr>
          <w:b/>
          <w:lang w:val="en-GB" w:eastAsia="en-US"/>
        </w:rPr>
        <w:t>2</w:t>
      </w:r>
      <w:r>
        <w:rPr>
          <w:lang w:val="en-GB" w:eastAsia="en-US"/>
        </w:rPr>
        <w:t xml:space="preserve">: </w:t>
      </w:r>
      <w:r w:rsidR="00B81D67">
        <w:rPr>
          <w:lang w:val="en-GB" w:eastAsia="en-US"/>
        </w:rPr>
        <w:t>When only a small time period for transition is needed for bandwidth adaptation without the center frequency change, we don’t see the particular need that a larger PRS bandwidth measurement may only be performed within the measurement gap</w:t>
      </w:r>
    </w:p>
    <w:p w:rsidR="001B6C3B" w:rsidRDefault="001B6C3B" w:rsidP="00064311">
      <w:pPr>
        <w:spacing w:after="0" w:line="240" w:lineRule="auto"/>
        <w:jc w:val="both"/>
        <w:rPr>
          <w:lang w:val="en-GB" w:eastAsia="en-US"/>
        </w:rPr>
      </w:pPr>
    </w:p>
    <w:p w:rsidR="001618CA" w:rsidRDefault="001618CA" w:rsidP="00064311">
      <w:pPr>
        <w:spacing w:after="0" w:line="240" w:lineRule="auto"/>
        <w:jc w:val="both"/>
        <w:rPr>
          <w:lang w:val="en-GB" w:eastAsia="en-US"/>
        </w:rPr>
      </w:pPr>
      <w:r w:rsidRPr="00EF6EF8">
        <w:rPr>
          <w:rFonts w:cs="v4.2.0"/>
          <w:b/>
        </w:rPr>
        <w:t xml:space="preserve">Observation </w:t>
      </w:r>
      <w:r w:rsidR="00106C01">
        <w:rPr>
          <w:rFonts w:cs="v4.2.0"/>
          <w:b/>
        </w:rPr>
        <w:t>2a-</w:t>
      </w:r>
      <w:r w:rsidR="00BB678E">
        <w:rPr>
          <w:rFonts w:cs="v4.2.0"/>
          <w:b/>
        </w:rPr>
        <w:t>3</w:t>
      </w:r>
      <w:r>
        <w:rPr>
          <w:rFonts w:cs="v4.2.0"/>
        </w:rPr>
        <w:t xml:space="preserve">: According to 38.133, </w:t>
      </w:r>
      <w:r w:rsidRPr="003445FB">
        <w:rPr>
          <w:rFonts w:cs="v4.2.0"/>
        </w:rPr>
        <w:t xml:space="preserve">the network must provide </w:t>
      </w:r>
      <w:r w:rsidRPr="003445FB">
        <w:t>a single per-UE measurement gap pattern for concurrent monitoring of all frequency layers</w:t>
      </w:r>
      <w:r>
        <w:t xml:space="preserve"> if </w:t>
      </w:r>
      <w:r w:rsidRPr="003445FB">
        <w:t>the UE does not support independent measurement gap patterns for different frequency ranges</w:t>
      </w:r>
    </w:p>
    <w:p w:rsidR="001618CA" w:rsidRDefault="001618CA" w:rsidP="00064311">
      <w:pPr>
        <w:spacing w:after="0" w:line="240" w:lineRule="auto"/>
        <w:jc w:val="both"/>
        <w:rPr>
          <w:lang w:val="en-GB" w:eastAsia="en-US"/>
        </w:rPr>
      </w:pPr>
    </w:p>
    <w:p w:rsidR="001B6C3B" w:rsidRPr="00EB3307" w:rsidRDefault="004949D4" w:rsidP="00064311">
      <w:pPr>
        <w:spacing w:after="0" w:line="240" w:lineRule="auto"/>
        <w:jc w:val="both"/>
        <w:rPr>
          <w:lang w:val="en-GB" w:eastAsia="en-US"/>
        </w:rPr>
      </w:pPr>
      <w:r w:rsidRPr="00EF6EF8">
        <w:rPr>
          <w:b/>
          <w:lang w:val="en-GB" w:eastAsia="en-US"/>
        </w:rPr>
        <w:t xml:space="preserve">Observation </w:t>
      </w:r>
      <w:r w:rsidR="00106C01">
        <w:rPr>
          <w:b/>
          <w:lang w:val="en-GB" w:eastAsia="en-US"/>
        </w:rPr>
        <w:t>2a-</w:t>
      </w:r>
      <w:r w:rsidR="00BB678E">
        <w:rPr>
          <w:b/>
          <w:lang w:val="en-GB" w:eastAsia="en-US"/>
        </w:rPr>
        <w:t>4</w:t>
      </w:r>
      <w:r>
        <w:rPr>
          <w:lang w:val="en-GB" w:eastAsia="en-US"/>
        </w:rPr>
        <w:t xml:space="preserve">: </w:t>
      </w:r>
      <w:r w:rsidR="007C110E">
        <w:rPr>
          <w:lang w:val="en-GB" w:eastAsia="en-US"/>
        </w:rPr>
        <w:t>Assigning more measurement objects to be measured in the measurement gaps may lead to the increase of measurement gap by shortening the periodicity and/or the longer reporting delay of the measurement</w:t>
      </w:r>
    </w:p>
    <w:p w:rsidR="00EF6EF8" w:rsidRPr="00363857" w:rsidRDefault="00EF6EF8" w:rsidP="00064311">
      <w:pPr>
        <w:spacing w:after="0" w:line="240" w:lineRule="auto"/>
        <w:jc w:val="both"/>
        <w:rPr>
          <w:lang w:eastAsia="en-US"/>
        </w:rPr>
      </w:pPr>
    </w:p>
    <w:p w:rsidR="00EF6EF8" w:rsidRPr="005E20FF" w:rsidRDefault="00EF6EF8" w:rsidP="00064311">
      <w:pPr>
        <w:spacing w:after="0" w:line="240" w:lineRule="auto"/>
        <w:jc w:val="both"/>
        <w:rPr>
          <w:lang w:eastAsia="en-US"/>
        </w:rPr>
      </w:pPr>
      <w:r w:rsidRPr="009F0594">
        <w:rPr>
          <w:b/>
          <w:lang w:val="en-GB" w:eastAsia="en-US"/>
        </w:rPr>
        <w:t xml:space="preserve">Proposal </w:t>
      </w:r>
      <w:r w:rsidR="00106C01">
        <w:rPr>
          <w:b/>
          <w:lang w:val="en-GB" w:eastAsia="en-US"/>
        </w:rPr>
        <w:t>2a-</w:t>
      </w:r>
      <w:r w:rsidR="0000491B">
        <w:rPr>
          <w:b/>
          <w:lang w:val="en-GB" w:eastAsia="en-US"/>
        </w:rPr>
        <w:t>1</w:t>
      </w:r>
      <w:r>
        <w:rPr>
          <w:lang w:val="en-GB" w:eastAsia="en-US"/>
        </w:rPr>
        <w:t xml:space="preserve">: </w:t>
      </w:r>
      <w:r w:rsidR="00156AA9">
        <w:rPr>
          <w:lang w:val="en-GB" w:eastAsia="en-US"/>
        </w:rPr>
        <w:t xml:space="preserve">For measuring wider PRS transmission bandwidth than active DL </w:t>
      </w:r>
      <w:r w:rsidR="00C67679">
        <w:rPr>
          <w:lang w:val="en-GB" w:eastAsia="en-US"/>
        </w:rPr>
        <w:t xml:space="preserve">BWP, consider </w:t>
      </w:r>
      <w:r w:rsidRPr="005E20FF">
        <w:rPr>
          <w:lang w:eastAsia="en-US"/>
        </w:rPr>
        <w:t xml:space="preserve">the mechanism </w:t>
      </w:r>
      <w:r w:rsidR="00C67679">
        <w:rPr>
          <w:lang w:eastAsia="en-US"/>
        </w:rPr>
        <w:t xml:space="preserve">to facilitate </w:t>
      </w:r>
      <w:r w:rsidRPr="005E20FF">
        <w:rPr>
          <w:lang w:eastAsia="en-US"/>
        </w:rPr>
        <w:t xml:space="preserve">PRS based intra-frequency measurement without gaps by incorporating </w:t>
      </w:r>
      <w:r w:rsidR="00133F88">
        <w:rPr>
          <w:lang w:eastAsia="en-US"/>
        </w:rPr>
        <w:t xml:space="preserve">a </w:t>
      </w:r>
      <w:r w:rsidRPr="005E20FF">
        <w:rPr>
          <w:lang w:eastAsia="en-US"/>
        </w:rPr>
        <w:t>short transition time for bandwidth adaption with</w:t>
      </w:r>
      <w:r>
        <w:rPr>
          <w:lang w:eastAsia="en-US"/>
        </w:rPr>
        <w:t>out</w:t>
      </w:r>
      <w:r w:rsidRPr="005E20FF">
        <w:rPr>
          <w:lang w:eastAsia="en-US"/>
        </w:rPr>
        <w:t xml:space="preserve"> center frequency change </w:t>
      </w:r>
    </w:p>
    <w:p w:rsidR="001B6C3B" w:rsidRPr="00EF6EF8" w:rsidRDefault="001B6C3B" w:rsidP="00064311">
      <w:pPr>
        <w:spacing w:after="0" w:line="240" w:lineRule="auto"/>
        <w:jc w:val="both"/>
        <w:rPr>
          <w:lang w:eastAsia="en-US"/>
        </w:rPr>
      </w:pPr>
    </w:p>
    <w:bookmarkEnd w:id="3"/>
    <w:bookmarkEnd w:id="4"/>
    <w:bookmarkEnd w:id="5"/>
    <w:bookmarkEnd w:id="6"/>
    <w:bookmarkEnd w:id="7"/>
    <w:bookmarkEnd w:id="8"/>
    <w:bookmarkEnd w:id="9"/>
    <w:p w:rsidR="00B62D09" w:rsidRDefault="00B62D09" w:rsidP="00B62D09">
      <w:pPr>
        <w:pStyle w:val="Heading2"/>
        <w:spacing w:before="0" w:after="120"/>
        <w:ind w:left="1138" w:hanging="1138"/>
        <w:rPr>
          <w:b/>
          <w:sz w:val="28"/>
          <w:szCs w:val="28"/>
        </w:rPr>
      </w:pPr>
      <w:r w:rsidRPr="00B62D09">
        <w:rPr>
          <w:b/>
          <w:sz w:val="28"/>
          <w:szCs w:val="28"/>
        </w:rPr>
        <w:t>2</w:t>
      </w:r>
      <w:r w:rsidR="00F12ED6">
        <w:rPr>
          <w:b/>
          <w:sz w:val="28"/>
          <w:szCs w:val="28"/>
        </w:rPr>
        <w:t>b</w:t>
      </w:r>
      <w:r w:rsidRPr="00B62D09">
        <w:rPr>
          <w:b/>
          <w:sz w:val="28"/>
          <w:szCs w:val="28"/>
        </w:rPr>
        <w:t xml:space="preserve"> </w:t>
      </w:r>
      <w:r w:rsidR="00347C53">
        <w:rPr>
          <w:b/>
          <w:sz w:val="28"/>
          <w:szCs w:val="28"/>
        </w:rPr>
        <w:t>B</w:t>
      </w:r>
      <w:r w:rsidRPr="00B62D09">
        <w:rPr>
          <w:b/>
          <w:sz w:val="28"/>
          <w:szCs w:val="28"/>
        </w:rPr>
        <w:t>eam management aspect</w:t>
      </w:r>
    </w:p>
    <w:p w:rsidR="00B62D09" w:rsidRDefault="00326685" w:rsidP="00326685">
      <w:pPr>
        <w:spacing w:after="120" w:line="240" w:lineRule="auto"/>
        <w:rPr>
          <w:lang w:val="en-GB" w:eastAsia="en-US"/>
        </w:rPr>
      </w:pPr>
      <w:r>
        <w:rPr>
          <w:lang w:val="en-GB" w:eastAsia="en-US"/>
        </w:rPr>
        <w:t>In previous meeting, there is the follow</w:t>
      </w:r>
      <w:r w:rsidR="00956276">
        <w:rPr>
          <w:lang w:val="en-GB" w:eastAsia="en-US"/>
        </w:rPr>
        <w:t xml:space="preserve">ing </w:t>
      </w:r>
      <w:r>
        <w:rPr>
          <w:lang w:val="en-GB" w:eastAsia="en-US"/>
        </w:rPr>
        <w:t>agreement related to the DL beam management,</w:t>
      </w:r>
    </w:p>
    <w:tbl>
      <w:tblPr>
        <w:tblStyle w:val="TableGrid"/>
        <w:tblW w:w="0" w:type="auto"/>
        <w:tblLook w:val="04A0" w:firstRow="1" w:lastRow="0" w:firstColumn="1" w:lastColumn="0" w:noHBand="0" w:noVBand="1"/>
      </w:tblPr>
      <w:tblGrid>
        <w:gridCol w:w="9629"/>
      </w:tblGrid>
      <w:tr w:rsidR="00326685" w:rsidTr="00326685">
        <w:tc>
          <w:tcPr>
            <w:tcW w:w="9629" w:type="dxa"/>
          </w:tcPr>
          <w:p w:rsidR="00C27AE9" w:rsidRPr="00902D5A" w:rsidRDefault="00C27AE9" w:rsidP="00C27AE9">
            <w:pPr>
              <w:spacing w:after="0" w:line="240" w:lineRule="auto"/>
              <w:rPr>
                <w:rFonts w:eastAsia="Batang" w:cs="Times New Roman"/>
                <w:sz w:val="16"/>
                <w:szCs w:val="16"/>
                <w:lang w:val="en-GB" w:eastAsia="en-US"/>
              </w:rPr>
            </w:pPr>
            <w:r w:rsidRPr="00902D5A">
              <w:rPr>
                <w:rFonts w:eastAsia="Batang" w:cs="Times New Roman"/>
                <w:sz w:val="16"/>
                <w:szCs w:val="16"/>
                <w:highlight w:val="green"/>
                <w:lang w:val="en-GB" w:eastAsia="en-US"/>
              </w:rPr>
              <w:t>Agreement:</w:t>
            </w:r>
          </w:p>
          <w:p w:rsidR="00C27AE9" w:rsidRPr="00902D5A" w:rsidRDefault="00C27AE9" w:rsidP="00C27AE9">
            <w:pPr>
              <w:keepNext/>
              <w:keepLines/>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For positioning purposes, to assist UE to perform Rx beamforming, the following options are supported (options are from previous related agreement in RAN1#96bis):</w:t>
            </w:r>
          </w:p>
          <w:p w:rsidR="00C27AE9" w:rsidRPr="00902D5A" w:rsidRDefault="00C27AE9" w:rsidP="00C27AE9">
            <w:pPr>
              <w:keepNext/>
              <w:keepLines/>
              <w:numPr>
                <w:ilvl w:val="0"/>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1: The DL PRS can be configured to be QCLed Type D with a DL Reference Signal from a serving or neighboring cell.</w:t>
            </w:r>
          </w:p>
          <w:p w:rsidR="00C27AE9" w:rsidRPr="00902D5A" w:rsidRDefault="00C27AE9" w:rsidP="00C27AE9">
            <w:pPr>
              <w:keepNext/>
              <w:keepLines/>
              <w:numPr>
                <w:ilvl w:val="1"/>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Discuss further which DL reference signal can be used (e.g., SSB, CSI-RS, DL-PRS).</w:t>
            </w:r>
          </w:p>
          <w:p w:rsidR="00C27AE9" w:rsidRPr="00902D5A" w:rsidRDefault="00C27AE9" w:rsidP="00C27AE9">
            <w:pPr>
              <w:keepNext/>
              <w:keepLines/>
              <w:numPr>
                <w:ilvl w:val="0"/>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2: The UE may perform a Rx beam sweeping on DL PRS resources which are transmitted with the same downlink spatial domain transmission filter.</w:t>
            </w:r>
          </w:p>
          <w:p w:rsidR="00C27AE9" w:rsidRPr="00902D5A" w:rsidRDefault="00C27AE9" w:rsidP="00C27AE9">
            <w:pPr>
              <w:keepNext/>
              <w:keepLines/>
              <w:numPr>
                <w:ilvl w:val="0"/>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3: The UE may use a fixed Rx beam to receive DL PRS resources which are transmitted with different downlink spatial domain transmission filter.</w:t>
            </w:r>
          </w:p>
          <w:p w:rsidR="00C27AE9" w:rsidRPr="00902D5A" w:rsidRDefault="00C27AE9" w:rsidP="00C27AE9">
            <w:pPr>
              <w:keepNext/>
              <w:keepLines/>
              <w:numPr>
                <w:ilvl w:val="1"/>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FFS: Whether this option can be achieved by Option 1</w:t>
            </w:r>
          </w:p>
          <w:p w:rsidR="00326685" w:rsidRPr="00C27AE9" w:rsidRDefault="00C27AE9" w:rsidP="00C27AE9">
            <w:pPr>
              <w:keepNext/>
              <w:keepLines/>
              <w:numPr>
                <w:ilvl w:val="0"/>
                <w:numId w:val="29"/>
              </w:numPr>
              <w:spacing w:after="0" w:line="240" w:lineRule="auto"/>
              <w:rPr>
                <w:rFonts w:eastAsia="Batang" w:cs="Times New Roman"/>
                <w:sz w:val="16"/>
                <w:szCs w:val="16"/>
                <w:lang w:val="en-GB" w:eastAsia="ko-KR"/>
              </w:rPr>
            </w:pPr>
            <w:r w:rsidRPr="00C27AE9">
              <w:rPr>
                <w:rFonts w:eastAsia="Batang" w:cs="Times New Roman"/>
                <w:color w:val="FF0000"/>
                <w:sz w:val="16"/>
                <w:szCs w:val="16"/>
                <w:lang w:val="en-GB" w:eastAsia="ko-KR"/>
              </w:rPr>
              <w:t>FFS on specification impacts</w:t>
            </w:r>
          </w:p>
        </w:tc>
      </w:tr>
    </w:tbl>
    <w:p w:rsidR="00326685" w:rsidRDefault="00326685" w:rsidP="00326685">
      <w:pPr>
        <w:spacing w:after="0" w:line="240" w:lineRule="auto"/>
        <w:rPr>
          <w:lang w:val="en-GB" w:eastAsia="en-US"/>
        </w:rPr>
      </w:pPr>
    </w:p>
    <w:p w:rsidR="00EE7440" w:rsidRPr="00861462" w:rsidRDefault="00F12ED6" w:rsidP="00F12ED6">
      <w:pPr>
        <w:spacing w:after="0" w:line="240" w:lineRule="auto"/>
        <w:jc w:val="both"/>
        <w:rPr>
          <w:lang w:val="en-GB" w:eastAsia="en-US"/>
        </w:rPr>
      </w:pPr>
      <w:r w:rsidRPr="00861462">
        <w:rPr>
          <w:lang w:val="en-GB" w:eastAsia="en-US"/>
        </w:rPr>
        <w:t xml:space="preserve">The three options are all supported. </w:t>
      </w:r>
      <w:r w:rsidR="00EE7440" w:rsidRPr="00861462">
        <w:rPr>
          <w:lang w:val="en-GB" w:eastAsia="en-US"/>
        </w:rPr>
        <w:t xml:space="preserve">For option 1, we have expressed our strong concern that, to configure type-D QCL for PRS, </w:t>
      </w:r>
      <w:r w:rsidR="00861462" w:rsidRPr="00861462">
        <w:rPr>
          <w:lang w:val="en-GB" w:eastAsia="en-US"/>
        </w:rPr>
        <w:t xml:space="preserve">at least </w:t>
      </w:r>
      <w:r w:rsidR="00EE7440" w:rsidRPr="00861462">
        <w:rPr>
          <w:lang w:val="en-GB" w:eastAsia="en-US"/>
        </w:rPr>
        <w:t xml:space="preserve">the </w:t>
      </w:r>
      <w:r w:rsidR="00861462" w:rsidRPr="00861462">
        <w:rPr>
          <w:lang w:val="en-GB" w:eastAsia="en-US"/>
        </w:rPr>
        <w:t xml:space="preserve">coarse </w:t>
      </w:r>
      <w:r w:rsidR="00EE7440" w:rsidRPr="00861462">
        <w:rPr>
          <w:lang w:val="en-GB" w:eastAsia="en-US"/>
        </w:rPr>
        <w:t>timing should ha</w:t>
      </w:r>
      <w:r w:rsidR="00861462" w:rsidRPr="00861462">
        <w:rPr>
          <w:lang w:val="en-GB" w:eastAsia="en-US"/>
        </w:rPr>
        <w:t>ve</w:t>
      </w:r>
      <w:r w:rsidR="00EE7440" w:rsidRPr="00861462">
        <w:rPr>
          <w:lang w:val="en-GB" w:eastAsia="en-US"/>
        </w:rPr>
        <w:t xml:space="preserve"> been identified. </w:t>
      </w:r>
      <w:r w:rsidR="00861462" w:rsidRPr="00861462">
        <w:rPr>
          <w:lang w:val="en-GB" w:eastAsia="en-US"/>
        </w:rPr>
        <w:t>Therefore, if a DL RS can be type-D source RS for PRS, the same DL RS should be able to simultaneously serve as type-C source RS for PRS as well.</w:t>
      </w:r>
    </w:p>
    <w:p w:rsidR="00861462" w:rsidRPr="00861462" w:rsidRDefault="00861462" w:rsidP="00F12ED6">
      <w:pPr>
        <w:spacing w:after="0" w:line="240" w:lineRule="auto"/>
        <w:jc w:val="both"/>
        <w:rPr>
          <w:lang w:val="en-GB" w:eastAsia="en-US"/>
        </w:rPr>
      </w:pPr>
    </w:p>
    <w:p w:rsidR="00861462" w:rsidRPr="00861462" w:rsidRDefault="00861462" w:rsidP="00F12ED6">
      <w:pPr>
        <w:spacing w:after="0" w:line="240" w:lineRule="auto"/>
        <w:jc w:val="both"/>
        <w:rPr>
          <w:lang w:val="en-GB" w:eastAsia="en-US"/>
        </w:rPr>
      </w:pPr>
      <w:r w:rsidRPr="00861462">
        <w:rPr>
          <w:lang w:val="en-GB" w:eastAsia="en-US"/>
        </w:rPr>
        <w:t>This is the reason we think that the description of option 1 is not complete. We suggest to re-word option 1 by the following,</w:t>
      </w:r>
    </w:p>
    <w:p w:rsidR="00861462" w:rsidRPr="00861462" w:rsidRDefault="00861462" w:rsidP="00F12ED6">
      <w:pPr>
        <w:spacing w:after="0" w:line="240" w:lineRule="auto"/>
        <w:jc w:val="both"/>
        <w:rPr>
          <w:lang w:val="en-GB" w:eastAsia="en-US"/>
        </w:rPr>
      </w:pPr>
    </w:p>
    <w:p w:rsidR="00861462" w:rsidRPr="00861462" w:rsidRDefault="00861462" w:rsidP="00F12ED6">
      <w:pPr>
        <w:spacing w:after="0" w:line="240" w:lineRule="auto"/>
        <w:jc w:val="both"/>
        <w:rPr>
          <w:lang w:val="en-GB" w:eastAsia="en-US"/>
        </w:rPr>
      </w:pPr>
      <w:r w:rsidRPr="00861462">
        <w:rPr>
          <w:b/>
          <w:lang w:val="en-GB" w:eastAsia="en-US"/>
        </w:rPr>
        <w:t>Proposal 2b-1</w:t>
      </w:r>
      <w:r w:rsidRPr="00861462">
        <w:rPr>
          <w:lang w:val="en-GB" w:eastAsia="en-US"/>
        </w:rPr>
        <w:t xml:space="preserve">: </w:t>
      </w:r>
      <w:r>
        <w:rPr>
          <w:lang w:val="en-GB" w:eastAsia="en-US"/>
        </w:rPr>
        <w:t>M</w:t>
      </w:r>
      <w:r w:rsidRPr="00861462">
        <w:rPr>
          <w:lang w:val="en-GB" w:eastAsia="en-US"/>
        </w:rPr>
        <w:t>odify option 1 as “</w:t>
      </w:r>
      <w:r w:rsidRPr="00861462">
        <w:rPr>
          <w:rFonts w:eastAsia="Batang" w:cs="Times New Roman"/>
          <w:lang w:val="en-GB" w:eastAsia="ko-KR"/>
        </w:rPr>
        <w:t xml:space="preserve">The DL PRS can be configured to be QCLed </w:t>
      </w:r>
      <w:r>
        <w:rPr>
          <w:rFonts w:eastAsia="Batang" w:cs="Times New Roman"/>
          <w:lang w:val="en-GB" w:eastAsia="ko-KR"/>
        </w:rPr>
        <w:t xml:space="preserve">Type C and </w:t>
      </w:r>
      <w:r w:rsidRPr="00861462">
        <w:rPr>
          <w:rFonts w:eastAsia="Batang" w:cs="Times New Roman"/>
          <w:lang w:val="en-GB" w:eastAsia="ko-KR"/>
        </w:rPr>
        <w:t>Type D with a DL Reference Signal from a serving or neighboring cell”</w:t>
      </w:r>
    </w:p>
    <w:p w:rsidR="00EE7440" w:rsidRPr="00861462" w:rsidRDefault="00EE7440" w:rsidP="00F12ED6">
      <w:pPr>
        <w:spacing w:after="0" w:line="240" w:lineRule="auto"/>
        <w:jc w:val="both"/>
        <w:rPr>
          <w:lang w:val="en-GB" w:eastAsia="en-US"/>
        </w:rPr>
      </w:pPr>
    </w:p>
    <w:p w:rsidR="00EE7440" w:rsidRPr="00861462" w:rsidRDefault="00EE7440" w:rsidP="00F12ED6">
      <w:pPr>
        <w:spacing w:after="0" w:line="240" w:lineRule="auto"/>
        <w:jc w:val="both"/>
        <w:rPr>
          <w:lang w:val="en-GB" w:eastAsia="en-US"/>
        </w:rPr>
      </w:pPr>
    </w:p>
    <w:p w:rsidR="00560C0E" w:rsidRDefault="00F12ED6" w:rsidP="00F12ED6">
      <w:pPr>
        <w:spacing w:after="0" w:line="240" w:lineRule="auto"/>
        <w:jc w:val="both"/>
        <w:rPr>
          <w:lang w:val="en-GB" w:eastAsia="en-US"/>
        </w:rPr>
      </w:pPr>
      <w:r>
        <w:rPr>
          <w:lang w:val="en-GB" w:eastAsia="en-US"/>
        </w:rPr>
        <w:t>O</w:t>
      </w:r>
      <w:r w:rsidR="00A01D94">
        <w:rPr>
          <w:lang w:val="en-GB" w:eastAsia="en-US"/>
        </w:rPr>
        <w:t xml:space="preserve">ption 3 is the UE behaviour to realize </w:t>
      </w:r>
      <w:r>
        <w:rPr>
          <w:lang w:val="en-GB" w:eastAsia="en-US"/>
        </w:rPr>
        <w:t xml:space="preserve">the DL angle based </w:t>
      </w:r>
      <w:r w:rsidR="00FD5FB6">
        <w:rPr>
          <w:lang w:val="en-GB" w:eastAsia="en-US"/>
        </w:rPr>
        <w:t>measurement. Fig</w:t>
      </w:r>
      <w:r w:rsidR="0086574A">
        <w:rPr>
          <w:lang w:val="en-GB" w:eastAsia="en-US"/>
        </w:rPr>
        <w:t>. 2</w:t>
      </w:r>
      <w:r>
        <w:rPr>
          <w:lang w:val="en-GB" w:eastAsia="en-US"/>
        </w:rPr>
        <w:t>b</w:t>
      </w:r>
      <w:r w:rsidR="0086574A">
        <w:rPr>
          <w:lang w:val="en-GB" w:eastAsia="en-US"/>
        </w:rPr>
        <w:t xml:space="preserve">-1 shows the example, where </w:t>
      </w:r>
      <w:r w:rsidR="00FD5FB6">
        <w:rPr>
          <w:lang w:val="en-GB" w:eastAsia="en-US"/>
        </w:rPr>
        <w:t xml:space="preserve">each UE </w:t>
      </w:r>
      <w:r w:rsidR="0086574A">
        <w:rPr>
          <w:lang w:val="en-GB" w:eastAsia="en-US"/>
        </w:rPr>
        <w:t xml:space="preserve">uses the same </w:t>
      </w:r>
      <w:r w:rsidR="00FD5FB6">
        <w:rPr>
          <w:lang w:val="en-GB" w:eastAsia="en-US"/>
        </w:rPr>
        <w:t>RX beam to receive multiple TX beams</w:t>
      </w:r>
      <w:r w:rsidR="0010058A">
        <w:rPr>
          <w:lang w:val="en-GB" w:eastAsia="en-US"/>
        </w:rPr>
        <w:t xml:space="preserve"> for RSRP measurement</w:t>
      </w:r>
      <w:r w:rsidR="00FD5FB6">
        <w:rPr>
          <w:lang w:val="en-GB" w:eastAsia="en-US"/>
        </w:rPr>
        <w:t xml:space="preserve">, and the measured </w:t>
      </w:r>
      <w:r w:rsidR="0010058A">
        <w:rPr>
          <w:lang w:val="en-GB" w:eastAsia="en-US"/>
        </w:rPr>
        <w:t xml:space="preserve">number of </w:t>
      </w:r>
      <w:r w:rsidR="00FD5FB6">
        <w:rPr>
          <w:lang w:val="en-GB" w:eastAsia="en-US"/>
        </w:rPr>
        <w:t>RSRP</w:t>
      </w:r>
      <w:r w:rsidR="0010058A">
        <w:rPr>
          <w:lang w:val="en-GB" w:eastAsia="en-US"/>
        </w:rPr>
        <w:t>s provides the signature to identify the direction between the TP to the UE</w:t>
      </w:r>
      <w:r w:rsidR="004B7ECA">
        <w:rPr>
          <w:lang w:val="en-GB" w:eastAsia="en-US"/>
        </w:rPr>
        <w:t>.</w:t>
      </w:r>
    </w:p>
    <w:p w:rsidR="0010058A" w:rsidRDefault="0010058A" w:rsidP="00F12ED6">
      <w:pPr>
        <w:spacing w:after="0" w:line="240" w:lineRule="auto"/>
        <w:jc w:val="both"/>
        <w:rPr>
          <w:lang w:val="en-GB" w:eastAsia="en-US"/>
        </w:rPr>
      </w:pPr>
    </w:p>
    <w:p w:rsidR="00783304" w:rsidRDefault="003C3E3A" w:rsidP="00F12ED6">
      <w:pPr>
        <w:spacing w:after="0" w:line="240" w:lineRule="auto"/>
        <w:jc w:val="both"/>
        <w:rPr>
          <w:lang w:val="en-GB" w:eastAsia="en-US"/>
        </w:rPr>
      </w:pPr>
      <w:r>
        <w:rPr>
          <w:lang w:val="en-GB" w:eastAsia="en-US"/>
        </w:rPr>
        <w:t>T</w:t>
      </w:r>
      <w:r w:rsidR="0010058A">
        <w:rPr>
          <w:lang w:val="en-GB" w:eastAsia="en-US"/>
        </w:rPr>
        <w:t xml:space="preserve">he </w:t>
      </w:r>
      <w:r>
        <w:rPr>
          <w:lang w:val="en-GB" w:eastAsia="en-US"/>
        </w:rPr>
        <w:t xml:space="preserve">behaviour of </w:t>
      </w:r>
      <w:r w:rsidR="0010058A">
        <w:rPr>
          <w:lang w:val="en-GB" w:eastAsia="en-US"/>
        </w:rPr>
        <w:t>“use the same RX beam to receive multiple TX beams for RSRP measurement”</w:t>
      </w:r>
      <w:r>
        <w:rPr>
          <w:lang w:val="en-GB" w:eastAsia="en-US"/>
        </w:rPr>
        <w:t xml:space="preserve"> needs to be described in the specification.</w:t>
      </w:r>
      <w:r w:rsidR="00B0407E">
        <w:rPr>
          <w:lang w:val="en-GB" w:eastAsia="en-US"/>
        </w:rPr>
        <w:t xml:space="preserve"> For the UE to be able to perform RSRP measurement, </w:t>
      </w:r>
      <w:r w:rsidR="00783304">
        <w:rPr>
          <w:lang w:val="en-GB" w:eastAsia="en-US"/>
        </w:rPr>
        <w:t xml:space="preserve">a coarse wide RX beam has been formed for reception. The basic timing search and energy detection have also been done. So the UE has known which TX beam can be received with better power. </w:t>
      </w:r>
    </w:p>
    <w:p w:rsidR="00783304" w:rsidRDefault="00783304" w:rsidP="001E6394">
      <w:pPr>
        <w:spacing w:after="0" w:line="240" w:lineRule="auto"/>
        <w:jc w:val="both"/>
        <w:rPr>
          <w:lang w:val="en-GB" w:eastAsia="en-US"/>
        </w:rPr>
      </w:pPr>
    </w:p>
    <w:p w:rsidR="00987F7C" w:rsidRDefault="00987F7C" w:rsidP="001E6394">
      <w:pPr>
        <w:spacing w:after="0" w:line="240" w:lineRule="auto"/>
        <w:jc w:val="both"/>
        <w:rPr>
          <w:lang w:val="en-GB" w:eastAsia="en-US"/>
        </w:rPr>
      </w:pPr>
      <w:r>
        <w:rPr>
          <w:lang w:val="en-GB" w:eastAsia="en-US"/>
        </w:rPr>
        <w:t>For the following multiple-beam RSRP measurement, the RX beam needs to at least receive the best TX beam which is identified in previous stage. Different UE may see different best TX beam, and it may not be possible that all the UEs can detect all the TX beams.</w:t>
      </w:r>
    </w:p>
    <w:p w:rsidR="00987F7C" w:rsidRDefault="00987F7C" w:rsidP="001E6394">
      <w:pPr>
        <w:spacing w:after="0" w:line="240" w:lineRule="auto"/>
        <w:jc w:val="both"/>
        <w:rPr>
          <w:lang w:val="en-GB" w:eastAsia="en-US"/>
        </w:rPr>
      </w:pPr>
    </w:p>
    <w:p w:rsidR="00987F7C" w:rsidRDefault="00543382" w:rsidP="001E6394">
      <w:pPr>
        <w:spacing w:after="0" w:line="240" w:lineRule="auto"/>
        <w:jc w:val="both"/>
        <w:rPr>
          <w:lang w:val="en-GB" w:eastAsia="en-US"/>
        </w:rPr>
      </w:pPr>
      <w:r>
        <w:rPr>
          <w:lang w:val="en-GB" w:eastAsia="en-US"/>
        </w:rPr>
        <w:t>We consider the following wordings to describe the behaviour,</w:t>
      </w:r>
    </w:p>
    <w:p w:rsidR="00543382" w:rsidRPr="00543382" w:rsidRDefault="00543382" w:rsidP="00543382">
      <w:pPr>
        <w:pStyle w:val="ListParagraph"/>
        <w:numPr>
          <w:ilvl w:val="0"/>
          <w:numId w:val="36"/>
        </w:numPr>
        <w:spacing w:after="0" w:line="240" w:lineRule="auto"/>
        <w:jc w:val="both"/>
        <w:rPr>
          <w:lang w:val="en-GB" w:eastAsia="en-US"/>
        </w:rPr>
      </w:pPr>
      <w:r>
        <w:rPr>
          <w:lang w:val="en-GB" w:eastAsia="en-US"/>
        </w:rPr>
        <w:t xml:space="preserve">For DL-AoD measurement, the UE shall not assume that the PRS resources for measurement are transmitted with the same downlink spatial domain transmission filter. The UE may also assume that the PRS resources for measurement are </w:t>
      </w:r>
      <w:r w:rsidRPr="008C1442">
        <w:rPr>
          <w:rFonts w:eastAsia="MS Mincho"/>
          <w:color w:val="000000"/>
        </w:rPr>
        <w:t xml:space="preserve">quasi co-located with </w:t>
      </w:r>
      <w:r>
        <w:rPr>
          <w:rFonts w:eastAsia="MS Mincho"/>
          <w:color w:val="000000"/>
        </w:rPr>
        <w:t>'</w:t>
      </w:r>
      <w:r w:rsidRPr="008C1442">
        <w:rPr>
          <w:rFonts w:eastAsia="MS Mincho"/>
          <w:color w:val="000000"/>
        </w:rPr>
        <w:t>QCL-TypeD</w:t>
      </w:r>
      <w:r>
        <w:rPr>
          <w:rFonts w:eastAsia="MS Mincho"/>
          <w:color w:val="000000"/>
        </w:rPr>
        <w:t>' for each other</w:t>
      </w:r>
    </w:p>
    <w:p w:rsidR="00A01D94" w:rsidRDefault="00A01D94" w:rsidP="001E6394">
      <w:pPr>
        <w:spacing w:after="0" w:line="240" w:lineRule="auto"/>
        <w:jc w:val="both"/>
        <w:rPr>
          <w:lang w:val="en-GB" w:eastAsia="en-US"/>
        </w:rPr>
      </w:pPr>
    </w:p>
    <w:p w:rsidR="00A01D94" w:rsidRDefault="00A01D94" w:rsidP="001E6394">
      <w:pPr>
        <w:spacing w:after="0" w:line="240" w:lineRule="auto"/>
        <w:jc w:val="both"/>
        <w:rPr>
          <w:lang w:val="en-GB" w:eastAsia="en-US"/>
        </w:rPr>
      </w:pPr>
    </w:p>
    <w:p w:rsidR="00F74DA4" w:rsidRDefault="00FD5FB6" w:rsidP="00C97D6D">
      <w:pPr>
        <w:spacing w:after="0" w:line="240" w:lineRule="auto"/>
        <w:jc w:val="center"/>
        <w:rPr>
          <w:lang w:val="en-GB" w:eastAsia="en-US"/>
        </w:rPr>
      </w:pPr>
      <w:r>
        <w:rPr>
          <w:noProof/>
        </w:rPr>
        <w:drawing>
          <wp:inline distT="0" distB="0" distL="0" distR="0" wp14:anchorId="31402A62">
            <wp:extent cx="2103120" cy="26243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3120" cy="2624328"/>
                    </a:xfrm>
                    <a:prstGeom prst="rect">
                      <a:avLst/>
                    </a:prstGeom>
                    <a:noFill/>
                  </pic:spPr>
                </pic:pic>
              </a:graphicData>
            </a:graphic>
          </wp:inline>
        </w:drawing>
      </w:r>
    </w:p>
    <w:p w:rsidR="00F74DA4" w:rsidRPr="00C97D6D" w:rsidRDefault="00C97D6D" w:rsidP="00C97D6D">
      <w:pPr>
        <w:spacing w:after="0" w:line="240" w:lineRule="auto"/>
        <w:jc w:val="center"/>
        <w:rPr>
          <w:sz w:val="20"/>
          <w:szCs w:val="20"/>
          <w:lang w:val="en-GB" w:eastAsia="en-US"/>
        </w:rPr>
      </w:pPr>
      <w:r w:rsidRPr="00C97D6D">
        <w:rPr>
          <w:sz w:val="20"/>
          <w:szCs w:val="20"/>
          <w:lang w:val="en-GB" w:eastAsia="en-US"/>
        </w:rPr>
        <w:t>Fig. 2</w:t>
      </w:r>
      <w:r w:rsidR="00F12ED6">
        <w:rPr>
          <w:sz w:val="20"/>
          <w:szCs w:val="20"/>
          <w:lang w:val="en-GB" w:eastAsia="en-US"/>
        </w:rPr>
        <w:t>b</w:t>
      </w:r>
      <w:r w:rsidRPr="00C97D6D">
        <w:rPr>
          <w:sz w:val="20"/>
          <w:szCs w:val="20"/>
          <w:lang w:val="en-GB" w:eastAsia="en-US"/>
        </w:rPr>
        <w:t xml:space="preserve">-1, </w:t>
      </w:r>
    </w:p>
    <w:p w:rsidR="00A01D94" w:rsidRDefault="00A01D94" w:rsidP="001E6394">
      <w:pPr>
        <w:spacing w:after="0" w:line="240" w:lineRule="auto"/>
        <w:jc w:val="both"/>
        <w:rPr>
          <w:lang w:val="en-GB" w:eastAsia="en-US"/>
        </w:rPr>
      </w:pPr>
    </w:p>
    <w:p w:rsidR="003A027F" w:rsidRDefault="003A027F" w:rsidP="001E6394">
      <w:pPr>
        <w:spacing w:after="0" w:line="240" w:lineRule="auto"/>
        <w:jc w:val="both"/>
        <w:rPr>
          <w:lang w:val="en-GB" w:eastAsia="en-US"/>
        </w:rPr>
      </w:pPr>
    </w:p>
    <w:p w:rsidR="00B13FCE" w:rsidRDefault="00B13FCE" w:rsidP="001E6394">
      <w:pPr>
        <w:spacing w:after="0" w:line="240" w:lineRule="auto"/>
        <w:jc w:val="both"/>
        <w:rPr>
          <w:lang w:val="en-GB" w:eastAsia="en-US"/>
        </w:rPr>
      </w:pPr>
      <w:bookmarkStart w:id="10" w:name="_GoBack"/>
      <w:bookmarkEnd w:id="10"/>
    </w:p>
    <w:p w:rsidR="00543382" w:rsidRDefault="00543382" w:rsidP="00543382">
      <w:pPr>
        <w:spacing w:after="0" w:line="240" w:lineRule="auto"/>
        <w:jc w:val="both"/>
        <w:rPr>
          <w:lang w:val="en-GB" w:eastAsia="en-US"/>
        </w:rPr>
      </w:pPr>
      <w:r w:rsidRPr="00543382">
        <w:rPr>
          <w:b/>
          <w:lang w:val="en-GB" w:eastAsia="en-US"/>
        </w:rPr>
        <w:t>Proposal 2</w:t>
      </w:r>
      <w:r w:rsidR="00B13FCE">
        <w:rPr>
          <w:b/>
          <w:lang w:val="en-GB" w:eastAsia="en-US"/>
        </w:rPr>
        <w:t>b</w:t>
      </w:r>
      <w:r w:rsidRPr="00543382">
        <w:rPr>
          <w:b/>
          <w:lang w:val="en-GB" w:eastAsia="en-US"/>
        </w:rPr>
        <w:t>-</w:t>
      </w:r>
      <w:r w:rsidR="00B13FCE">
        <w:rPr>
          <w:b/>
          <w:lang w:val="en-GB" w:eastAsia="en-US"/>
        </w:rPr>
        <w:t>2</w:t>
      </w:r>
      <w:r>
        <w:rPr>
          <w:lang w:val="en-GB" w:eastAsia="en-US"/>
        </w:rPr>
        <w:t xml:space="preserve">: To address the behaviour of “use the same RX beam to receive multiple TX beams for RSRP measurement”, the following wordings are proposed: “For DL-AoD measurement, the UE shall not assume that the PRS resources for measurement are transmitted with the same downlink spatial domain transmission filter. The UE may also assume that the PRS resources for measurement are </w:t>
      </w:r>
      <w:r w:rsidRPr="008C1442">
        <w:rPr>
          <w:rFonts w:eastAsia="MS Mincho"/>
          <w:color w:val="000000"/>
        </w:rPr>
        <w:t xml:space="preserve">quasi co-located with </w:t>
      </w:r>
      <w:r>
        <w:rPr>
          <w:rFonts w:eastAsia="MS Mincho"/>
          <w:color w:val="000000"/>
        </w:rPr>
        <w:t>'</w:t>
      </w:r>
      <w:r w:rsidRPr="008C1442">
        <w:rPr>
          <w:rFonts w:eastAsia="MS Mincho"/>
          <w:color w:val="000000"/>
        </w:rPr>
        <w:t>QCL-TypeD</w:t>
      </w:r>
      <w:r>
        <w:rPr>
          <w:rFonts w:eastAsia="MS Mincho"/>
          <w:color w:val="000000"/>
        </w:rPr>
        <w:t>' for each other”</w:t>
      </w:r>
    </w:p>
    <w:p w:rsidR="00326685" w:rsidRPr="00B62D09" w:rsidRDefault="00326685" w:rsidP="00326685">
      <w:pPr>
        <w:spacing w:after="0" w:line="240" w:lineRule="auto"/>
        <w:rPr>
          <w:lang w:val="en-GB" w:eastAsia="en-US"/>
        </w:rPr>
      </w:pPr>
    </w:p>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lastRenderedPageBreak/>
        <w:t>Conclusion</w:t>
      </w:r>
    </w:p>
    <w:p w:rsidR="006D4469" w:rsidRDefault="006D4469" w:rsidP="00FE3490">
      <w:pPr>
        <w:spacing w:after="0" w:line="240" w:lineRule="auto"/>
        <w:jc w:val="both"/>
        <w:rPr>
          <w:lang w:val="en-GB" w:eastAsia="zh-TW"/>
        </w:rPr>
      </w:pPr>
      <w:r w:rsidRPr="006D4469">
        <w:rPr>
          <w:lang w:val="en-GB" w:eastAsia="en-US"/>
        </w:rPr>
        <w:t>Based on the above, we have,</w:t>
      </w:r>
    </w:p>
    <w:p w:rsidR="007C044F" w:rsidRDefault="007C044F" w:rsidP="00FE3490">
      <w:pPr>
        <w:spacing w:after="0" w:line="240" w:lineRule="auto"/>
        <w:jc w:val="both"/>
        <w:rPr>
          <w:lang w:val="en-GB" w:eastAsia="zh-TW"/>
        </w:rPr>
      </w:pPr>
    </w:p>
    <w:p w:rsidR="00AA29D3" w:rsidRDefault="00AA29D3" w:rsidP="00AA29D3">
      <w:pPr>
        <w:spacing w:after="0" w:line="240" w:lineRule="auto"/>
        <w:jc w:val="both"/>
        <w:rPr>
          <w:lang w:val="en-GB" w:eastAsia="en-US"/>
        </w:rPr>
      </w:pPr>
      <w:r w:rsidRPr="009F0594">
        <w:rPr>
          <w:b/>
          <w:lang w:val="en-GB" w:eastAsia="en-US"/>
        </w:rPr>
        <w:t xml:space="preserve">Observation </w:t>
      </w:r>
      <w:r>
        <w:rPr>
          <w:b/>
          <w:lang w:val="en-GB" w:eastAsia="en-US"/>
        </w:rPr>
        <w:t>2a-</w:t>
      </w:r>
      <w:r w:rsidRPr="009F0594">
        <w:rPr>
          <w:b/>
          <w:lang w:val="en-GB" w:eastAsia="en-US"/>
        </w:rPr>
        <w:t>1</w:t>
      </w:r>
      <w:r>
        <w:rPr>
          <w:lang w:val="en-GB" w:eastAsia="en-US"/>
        </w:rPr>
        <w:t>: BWP adjustment includes, the adjustment of center frequency and/or the bandwidth adaptation</w:t>
      </w:r>
    </w:p>
    <w:p w:rsidR="00AA29D3" w:rsidRDefault="00AA29D3" w:rsidP="00AA29D3">
      <w:pPr>
        <w:spacing w:after="0" w:line="240" w:lineRule="auto"/>
        <w:jc w:val="both"/>
        <w:rPr>
          <w:lang w:eastAsia="en-US"/>
        </w:rPr>
      </w:pPr>
    </w:p>
    <w:p w:rsidR="00AA29D3" w:rsidRDefault="00AA29D3" w:rsidP="00AA29D3">
      <w:pPr>
        <w:spacing w:after="0" w:line="240" w:lineRule="auto"/>
        <w:jc w:val="both"/>
        <w:rPr>
          <w:lang w:val="en-GB" w:eastAsia="en-US"/>
        </w:rPr>
      </w:pPr>
      <w:r w:rsidRPr="009F0594">
        <w:rPr>
          <w:b/>
          <w:lang w:val="en-GB" w:eastAsia="en-US"/>
        </w:rPr>
        <w:t xml:space="preserve">Observation </w:t>
      </w:r>
      <w:r>
        <w:rPr>
          <w:b/>
          <w:lang w:val="en-GB" w:eastAsia="en-US"/>
        </w:rPr>
        <w:t>2a-2</w:t>
      </w:r>
      <w:r>
        <w:rPr>
          <w:lang w:val="en-GB" w:eastAsia="en-US"/>
        </w:rPr>
        <w:t>: When only a small time period for transition is needed for bandwidth adaptation without the center frequency change, we don’t see the particular need that a larger PRS bandwidth measurement may only be performed within the measurement gap</w:t>
      </w:r>
    </w:p>
    <w:p w:rsidR="00AA29D3" w:rsidRDefault="00AA29D3" w:rsidP="00AA29D3">
      <w:pPr>
        <w:spacing w:after="0" w:line="240" w:lineRule="auto"/>
        <w:jc w:val="both"/>
        <w:rPr>
          <w:lang w:val="en-GB" w:eastAsia="en-US"/>
        </w:rPr>
      </w:pPr>
    </w:p>
    <w:p w:rsidR="00AA29D3" w:rsidRDefault="00AA29D3" w:rsidP="00AA29D3">
      <w:pPr>
        <w:spacing w:after="0" w:line="240" w:lineRule="auto"/>
        <w:jc w:val="both"/>
        <w:rPr>
          <w:lang w:val="en-GB" w:eastAsia="en-US"/>
        </w:rPr>
      </w:pPr>
      <w:r w:rsidRPr="00EF6EF8">
        <w:rPr>
          <w:rFonts w:cs="v4.2.0"/>
          <w:b/>
        </w:rPr>
        <w:t xml:space="preserve">Observation </w:t>
      </w:r>
      <w:r>
        <w:rPr>
          <w:rFonts w:cs="v4.2.0"/>
          <w:b/>
        </w:rPr>
        <w:t>2a-3</w:t>
      </w:r>
      <w:r>
        <w:rPr>
          <w:rFonts w:cs="v4.2.0"/>
        </w:rPr>
        <w:t xml:space="preserve">: According to 38.133, </w:t>
      </w:r>
      <w:r w:rsidRPr="003445FB">
        <w:rPr>
          <w:rFonts w:cs="v4.2.0"/>
        </w:rPr>
        <w:t xml:space="preserve">the network must provide </w:t>
      </w:r>
      <w:r w:rsidRPr="003445FB">
        <w:t>a single per-UE measurement gap pattern for concurrent monitoring of all frequency layers</w:t>
      </w:r>
      <w:r>
        <w:t xml:space="preserve"> if </w:t>
      </w:r>
      <w:r w:rsidRPr="003445FB">
        <w:t>the UE does not support independent measurement gap patterns for different frequency ranges</w:t>
      </w:r>
    </w:p>
    <w:p w:rsidR="00AA29D3" w:rsidRDefault="00AA29D3" w:rsidP="00AA29D3">
      <w:pPr>
        <w:spacing w:after="0" w:line="240" w:lineRule="auto"/>
        <w:jc w:val="both"/>
        <w:rPr>
          <w:lang w:val="en-GB" w:eastAsia="en-US"/>
        </w:rPr>
      </w:pPr>
    </w:p>
    <w:p w:rsidR="00AA29D3" w:rsidRPr="00EB3307" w:rsidRDefault="00AA29D3" w:rsidP="00AA29D3">
      <w:pPr>
        <w:spacing w:after="0" w:line="240" w:lineRule="auto"/>
        <w:jc w:val="both"/>
        <w:rPr>
          <w:lang w:val="en-GB" w:eastAsia="en-US"/>
        </w:rPr>
      </w:pPr>
      <w:r w:rsidRPr="00EF6EF8">
        <w:rPr>
          <w:b/>
          <w:lang w:val="en-GB" w:eastAsia="en-US"/>
        </w:rPr>
        <w:t xml:space="preserve">Observation </w:t>
      </w:r>
      <w:r>
        <w:rPr>
          <w:b/>
          <w:lang w:val="en-GB" w:eastAsia="en-US"/>
        </w:rPr>
        <w:t>2a-4</w:t>
      </w:r>
      <w:r>
        <w:rPr>
          <w:lang w:val="en-GB" w:eastAsia="en-US"/>
        </w:rPr>
        <w:t>: Assigning more measurement objects to be measured in the measurement gaps may lead to the increase of measurement gap by shortening the periodicity and/or the longer reporting delay of the measurement</w:t>
      </w:r>
    </w:p>
    <w:p w:rsidR="00C84ED1" w:rsidRPr="00AA29D3" w:rsidRDefault="00C84ED1" w:rsidP="00C84ED1">
      <w:pPr>
        <w:spacing w:after="0" w:line="240" w:lineRule="auto"/>
        <w:jc w:val="both"/>
        <w:rPr>
          <w:lang w:val="en-GB" w:eastAsia="en-US"/>
        </w:rPr>
      </w:pPr>
    </w:p>
    <w:p w:rsidR="00C84ED1" w:rsidRPr="005E20FF" w:rsidRDefault="00C84ED1" w:rsidP="00C84ED1">
      <w:pPr>
        <w:spacing w:after="0" w:line="240" w:lineRule="auto"/>
        <w:jc w:val="both"/>
        <w:rPr>
          <w:lang w:eastAsia="en-US"/>
        </w:rPr>
      </w:pPr>
      <w:r w:rsidRPr="009F0594">
        <w:rPr>
          <w:b/>
          <w:lang w:val="en-GB" w:eastAsia="en-US"/>
        </w:rPr>
        <w:t xml:space="preserve">Proposal </w:t>
      </w:r>
      <w:r>
        <w:rPr>
          <w:b/>
          <w:lang w:val="en-GB" w:eastAsia="en-US"/>
        </w:rPr>
        <w:t>2a-1</w:t>
      </w:r>
      <w:r>
        <w:rPr>
          <w:lang w:val="en-GB" w:eastAsia="en-US"/>
        </w:rPr>
        <w:t xml:space="preserve">: For measuring wider PRS transmission bandwidth than active DL BWP, consider </w:t>
      </w:r>
      <w:r w:rsidRPr="005E20FF">
        <w:rPr>
          <w:lang w:eastAsia="en-US"/>
        </w:rPr>
        <w:t xml:space="preserve">the mechanism </w:t>
      </w:r>
      <w:r>
        <w:rPr>
          <w:lang w:eastAsia="en-US"/>
        </w:rPr>
        <w:t xml:space="preserve">to facilitate </w:t>
      </w:r>
      <w:r w:rsidRPr="005E20FF">
        <w:rPr>
          <w:lang w:eastAsia="en-US"/>
        </w:rPr>
        <w:t xml:space="preserve">PRS based intra-frequency measurement without gaps by incorporating </w:t>
      </w:r>
      <w:r w:rsidR="00AA29D3">
        <w:rPr>
          <w:lang w:eastAsia="en-US"/>
        </w:rPr>
        <w:t xml:space="preserve">a </w:t>
      </w:r>
      <w:r w:rsidRPr="005E20FF">
        <w:rPr>
          <w:lang w:eastAsia="en-US"/>
        </w:rPr>
        <w:t>short transition time for bandwidth adaption with</w:t>
      </w:r>
      <w:r>
        <w:rPr>
          <w:lang w:eastAsia="en-US"/>
        </w:rPr>
        <w:t>out</w:t>
      </w:r>
      <w:r w:rsidRPr="005E20FF">
        <w:rPr>
          <w:lang w:eastAsia="en-US"/>
        </w:rPr>
        <w:t xml:space="preserve"> center frequency change </w:t>
      </w:r>
    </w:p>
    <w:p w:rsidR="00C84ED1" w:rsidRPr="00EF6EF8" w:rsidRDefault="00C84ED1" w:rsidP="00C84ED1">
      <w:pPr>
        <w:spacing w:after="0" w:line="240" w:lineRule="auto"/>
        <w:jc w:val="both"/>
        <w:rPr>
          <w:lang w:eastAsia="en-US"/>
        </w:rPr>
      </w:pPr>
    </w:p>
    <w:p w:rsidR="00C84ED1" w:rsidRDefault="00C84ED1" w:rsidP="00C84ED1">
      <w:pPr>
        <w:spacing w:after="0" w:line="240" w:lineRule="auto"/>
        <w:jc w:val="both"/>
        <w:rPr>
          <w:rFonts w:eastAsia="Batang" w:cs="Times New Roman"/>
          <w:lang w:val="en-GB" w:eastAsia="ko-KR"/>
        </w:rPr>
      </w:pPr>
      <w:r w:rsidRPr="00861462">
        <w:rPr>
          <w:b/>
          <w:lang w:val="en-GB" w:eastAsia="en-US"/>
        </w:rPr>
        <w:t>Proposal 2b-1</w:t>
      </w:r>
      <w:r w:rsidRPr="00861462">
        <w:rPr>
          <w:lang w:val="en-GB" w:eastAsia="en-US"/>
        </w:rPr>
        <w:t xml:space="preserve">: </w:t>
      </w:r>
      <w:r>
        <w:rPr>
          <w:lang w:val="en-GB" w:eastAsia="en-US"/>
        </w:rPr>
        <w:t>M</w:t>
      </w:r>
      <w:r w:rsidRPr="00861462">
        <w:rPr>
          <w:lang w:val="en-GB" w:eastAsia="en-US"/>
        </w:rPr>
        <w:t>odify option 1 as “</w:t>
      </w:r>
      <w:r w:rsidRPr="00861462">
        <w:rPr>
          <w:rFonts w:eastAsia="Batang" w:cs="Times New Roman"/>
          <w:lang w:val="en-GB" w:eastAsia="ko-KR"/>
        </w:rPr>
        <w:t xml:space="preserve">The DL PRS can be configured to be QCLed </w:t>
      </w:r>
      <w:r>
        <w:rPr>
          <w:rFonts w:eastAsia="Batang" w:cs="Times New Roman"/>
          <w:lang w:val="en-GB" w:eastAsia="ko-KR"/>
        </w:rPr>
        <w:t xml:space="preserve">Type C and </w:t>
      </w:r>
      <w:r w:rsidRPr="00861462">
        <w:rPr>
          <w:rFonts w:eastAsia="Batang" w:cs="Times New Roman"/>
          <w:lang w:val="en-GB" w:eastAsia="ko-KR"/>
        </w:rPr>
        <w:t>Type D with a DL Reference Signal from a serving or neighboring cell”</w:t>
      </w:r>
    </w:p>
    <w:p w:rsidR="00C84ED1" w:rsidRDefault="00C84ED1" w:rsidP="00C84ED1">
      <w:pPr>
        <w:spacing w:after="0" w:line="240" w:lineRule="auto"/>
        <w:jc w:val="both"/>
        <w:rPr>
          <w:lang w:val="en-GB" w:eastAsia="en-US"/>
        </w:rPr>
      </w:pPr>
    </w:p>
    <w:p w:rsidR="00C84ED1" w:rsidRDefault="00C84ED1" w:rsidP="00C84ED1">
      <w:pPr>
        <w:spacing w:after="0" w:line="240" w:lineRule="auto"/>
        <w:jc w:val="both"/>
        <w:rPr>
          <w:lang w:val="en-GB" w:eastAsia="en-US"/>
        </w:rPr>
      </w:pPr>
      <w:r w:rsidRPr="00543382">
        <w:rPr>
          <w:b/>
          <w:lang w:val="en-GB" w:eastAsia="en-US"/>
        </w:rPr>
        <w:t>Proposal 2</w:t>
      </w:r>
      <w:r>
        <w:rPr>
          <w:b/>
          <w:lang w:val="en-GB" w:eastAsia="en-US"/>
        </w:rPr>
        <w:t>b</w:t>
      </w:r>
      <w:r w:rsidRPr="00543382">
        <w:rPr>
          <w:b/>
          <w:lang w:val="en-GB" w:eastAsia="en-US"/>
        </w:rPr>
        <w:t>-</w:t>
      </w:r>
      <w:r>
        <w:rPr>
          <w:b/>
          <w:lang w:val="en-GB" w:eastAsia="en-US"/>
        </w:rPr>
        <w:t>2</w:t>
      </w:r>
      <w:r>
        <w:rPr>
          <w:lang w:val="en-GB" w:eastAsia="en-US"/>
        </w:rPr>
        <w:t xml:space="preserve">: To address the behaviour of “use the same RX beam to receive multiple TX beams for RSRP measurement”, the following wordings are proposed: “For DL-AoD measurement, the UE shall not assume that the PRS resources for measurement are transmitted with the same downlink spatial domain transmission filter. The UE may also assume that the PRS resources for measurement are </w:t>
      </w:r>
      <w:r w:rsidRPr="008C1442">
        <w:rPr>
          <w:rFonts w:eastAsia="MS Mincho"/>
          <w:color w:val="000000"/>
        </w:rPr>
        <w:t xml:space="preserve">quasi co-located with </w:t>
      </w:r>
      <w:r>
        <w:rPr>
          <w:rFonts w:eastAsia="MS Mincho"/>
          <w:color w:val="000000"/>
        </w:rPr>
        <w:t>'</w:t>
      </w:r>
      <w:r w:rsidRPr="008C1442">
        <w:rPr>
          <w:rFonts w:eastAsia="MS Mincho"/>
          <w:color w:val="000000"/>
        </w:rPr>
        <w:t>QCL-TypeD</w:t>
      </w:r>
      <w:r>
        <w:rPr>
          <w:rFonts w:eastAsia="MS Mincho"/>
          <w:color w:val="000000"/>
        </w:rPr>
        <w:t>' for each other”</w:t>
      </w:r>
    </w:p>
    <w:sectPr w:rsidR="00C84ED1"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242" w:rsidRDefault="00555242">
      <w:r>
        <w:separator/>
      </w:r>
    </w:p>
  </w:endnote>
  <w:endnote w:type="continuationSeparator" w:id="0">
    <w:p w:rsidR="00555242" w:rsidRDefault="0055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242" w:rsidRDefault="00555242">
      <w:r>
        <w:separator/>
      </w:r>
    </w:p>
  </w:footnote>
  <w:footnote w:type="continuationSeparator" w:id="0">
    <w:p w:rsidR="00555242" w:rsidRDefault="005552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72714"/>
    <w:multiLevelType w:val="hybridMultilevel"/>
    <w:tmpl w:val="D9C60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2"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24B77"/>
    <w:multiLevelType w:val="hybridMultilevel"/>
    <w:tmpl w:val="C68A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5" w15:restartNumberingAfterBreak="0">
    <w:nsid w:val="50905926"/>
    <w:multiLevelType w:val="hybridMultilevel"/>
    <w:tmpl w:val="7AB27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7080F"/>
    <w:multiLevelType w:val="hybridMultilevel"/>
    <w:tmpl w:val="8C02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939F3"/>
    <w:multiLevelType w:val="hybridMultilevel"/>
    <w:tmpl w:val="BB08A3A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8"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12491D"/>
    <w:multiLevelType w:val="hybridMultilevel"/>
    <w:tmpl w:val="60F4DD6A"/>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3"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878A9"/>
    <w:multiLevelType w:val="hybridMultilevel"/>
    <w:tmpl w:val="5E8228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num w:numId="1">
    <w:abstractNumId w:val="28"/>
  </w:num>
  <w:num w:numId="2">
    <w:abstractNumId w:val="29"/>
  </w:num>
  <w:num w:numId="3">
    <w:abstractNumId w:val="17"/>
  </w:num>
  <w:num w:numId="4">
    <w:abstractNumId w:val="30"/>
  </w:num>
  <w:num w:numId="5">
    <w:abstractNumId w:val="2"/>
  </w:num>
  <w:num w:numId="6">
    <w:abstractNumId w:val="16"/>
  </w:num>
  <w:num w:numId="7">
    <w:abstractNumId w:val="31"/>
  </w:num>
  <w:num w:numId="8">
    <w:abstractNumId w:val="15"/>
  </w:num>
  <w:num w:numId="9">
    <w:abstractNumId w:val="23"/>
  </w:num>
  <w:num w:numId="10">
    <w:abstractNumId w:val="7"/>
  </w:num>
  <w:num w:numId="11">
    <w:abstractNumId w:val="36"/>
  </w:num>
  <w:num w:numId="12">
    <w:abstractNumId w:val="8"/>
  </w:num>
  <w:num w:numId="13">
    <w:abstractNumId w:val="3"/>
  </w:num>
  <w:num w:numId="14">
    <w:abstractNumId w:val="19"/>
  </w:num>
  <w:num w:numId="15">
    <w:abstractNumId w:val="1"/>
  </w:num>
  <w:num w:numId="16">
    <w:abstractNumId w:val="0"/>
  </w:num>
  <w:num w:numId="17">
    <w:abstractNumId w:val="35"/>
  </w:num>
  <w:num w:numId="18">
    <w:abstractNumId w:val="33"/>
  </w:num>
  <w:num w:numId="19">
    <w:abstractNumId w:val="11"/>
  </w:num>
  <w:num w:numId="20">
    <w:abstractNumId w:val="24"/>
  </w:num>
  <w:num w:numId="21">
    <w:abstractNumId w:val="10"/>
  </w:num>
  <w:num w:numId="22">
    <w:abstractNumId w:val="12"/>
  </w:num>
  <w:num w:numId="23">
    <w:abstractNumId w:val="14"/>
  </w:num>
  <w:num w:numId="24">
    <w:abstractNumId w:val="5"/>
  </w:num>
  <w:num w:numId="25">
    <w:abstractNumId w:val="4"/>
  </w:num>
  <w:num w:numId="26">
    <w:abstractNumId w:val="21"/>
  </w:num>
  <w:num w:numId="27">
    <w:abstractNumId w:val="18"/>
  </w:num>
  <w:num w:numId="28">
    <w:abstractNumId w:val="22"/>
  </w:num>
  <w:num w:numId="29">
    <w:abstractNumId w:val="9"/>
  </w:num>
  <w:num w:numId="30">
    <w:abstractNumId w:val="20"/>
  </w:num>
  <w:num w:numId="31">
    <w:abstractNumId w:val="25"/>
  </w:num>
  <w:num w:numId="32">
    <w:abstractNumId w:val="37"/>
  </w:num>
  <w:num w:numId="33">
    <w:abstractNumId w:val="32"/>
  </w:num>
  <w:num w:numId="34">
    <w:abstractNumId w:val="26"/>
  </w:num>
  <w:num w:numId="35">
    <w:abstractNumId w:val="13"/>
  </w:num>
  <w:num w:numId="36">
    <w:abstractNumId w:val="6"/>
  </w:num>
  <w:num w:numId="37">
    <w:abstractNumId w:val="34"/>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43E"/>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91B"/>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735"/>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528"/>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BC4"/>
    <w:rsid w:val="00022F9E"/>
    <w:rsid w:val="0002305A"/>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6D4"/>
    <w:rsid w:val="000617D4"/>
    <w:rsid w:val="00061866"/>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311"/>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1B1"/>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ACC"/>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9EC"/>
    <w:rsid w:val="000A4AA1"/>
    <w:rsid w:val="000A4E95"/>
    <w:rsid w:val="000A5740"/>
    <w:rsid w:val="000A60F7"/>
    <w:rsid w:val="000A6469"/>
    <w:rsid w:val="000A64A5"/>
    <w:rsid w:val="000A65AA"/>
    <w:rsid w:val="000A68DE"/>
    <w:rsid w:val="000A6B2E"/>
    <w:rsid w:val="000A7C95"/>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DC5"/>
    <w:rsid w:val="000C4B97"/>
    <w:rsid w:val="000C4D46"/>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FC"/>
    <w:rsid w:val="000F787E"/>
    <w:rsid w:val="000F7BA3"/>
    <w:rsid w:val="000F7BFF"/>
    <w:rsid w:val="00100030"/>
    <w:rsid w:val="00100300"/>
    <w:rsid w:val="0010058A"/>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2D3"/>
    <w:rsid w:val="001034B0"/>
    <w:rsid w:val="00103779"/>
    <w:rsid w:val="0010384C"/>
    <w:rsid w:val="0010389E"/>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6C01"/>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22B"/>
    <w:rsid w:val="00133500"/>
    <w:rsid w:val="00133A9F"/>
    <w:rsid w:val="00133C98"/>
    <w:rsid w:val="00133F8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AA9"/>
    <w:rsid w:val="00156CEE"/>
    <w:rsid w:val="00157B4F"/>
    <w:rsid w:val="00157D7B"/>
    <w:rsid w:val="0016000F"/>
    <w:rsid w:val="0016015A"/>
    <w:rsid w:val="00160279"/>
    <w:rsid w:val="00160AA5"/>
    <w:rsid w:val="00160B9C"/>
    <w:rsid w:val="00160EAA"/>
    <w:rsid w:val="00160EF9"/>
    <w:rsid w:val="001614F2"/>
    <w:rsid w:val="0016169C"/>
    <w:rsid w:val="00161702"/>
    <w:rsid w:val="001617CA"/>
    <w:rsid w:val="001618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A7E"/>
    <w:rsid w:val="00186AD6"/>
    <w:rsid w:val="00186E53"/>
    <w:rsid w:val="001870A0"/>
    <w:rsid w:val="001870CB"/>
    <w:rsid w:val="00190041"/>
    <w:rsid w:val="00190129"/>
    <w:rsid w:val="001901B1"/>
    <w:rsid w:val="001907C6"/>
    <w:rsid w:val="001909B4"/>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11"/>
    <w:rsid w:val="00197F34"/>
    <w:rsid w:val="001A0380"/>
    <w:rsid w:val="001A087B"/>
    <w:rsid w:val="001A0C03"/>
    <w:rsid w:val="001A0EF1"/>
    <w:rsid w:val="001A0F00"/>
    <w:rsid w:val="001A1035"/>
    <w:rsid w:val="001A12B8"/>
    <w:rsid w:val="001A14E6"/>
    <w:rsid w:val="001A1BC8"/>
    <w:rsid w:val="001A204E"/>
    <w:rsid w:val="001A20F4"/>
    <w:rsid w:val="001A225A"/>
    <w:rsid w:val="001A2620"/>
    <w:rsid w:val="001A2B9D"/>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BEA"/>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91"/>
    <w:rsid w:val="001B49C6"/>
    <w:rsid w:val="001B4F50"/>
    <w:rsid w:val="001B50E2"/>
    <w:rsid w:val="001B52F9"/>
    <w:rsid w:val="001B55B0"/>
    <w:rsid w:val="001B5AA0"/>
    <w:rsid w:val="001B5D0A"/>
    <w:rsid w:val="001B6C3B"/>
    <w:rsid w:val="001B709E"/>
    <w:rsid w:val="001B748D"/>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76"/>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394"/>
    <w:rsid w:val="001E64D1"/>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162"/>
    <w:rsid w:val="002408E4"/>
    <w:rsid w:val="00240B1F"/>
    <w:rsid w:val="00240BBF"/>
    <w:rsid w:val="00241776"/>
    <w:rsid w:val="0024278A"/>
    <w:rsid w:val="00242E93"/>
    <w:rsid w:val="00243010"/>
    <w:rsid w:val="00243047"/>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E70"/>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2BF"/>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3DC"/>
    <w:rsid w:val="00271802"/>
    <w:rsid w:val="002718F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46C"/>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317"/>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985"/>
    <w:rsid w:val="002C3C11"/>
    <w:rsid w:val="002C3E0D"/>
    <w:rsid w:val="002C3E35"/>
    <w:rsid w:val="002C4727"/>
    <w:rsid w:val="002C530E"/>
    <w:rsid w:val="002C54F3"/>
    <w:rsid w:val="002C587F"/>
    <w:rsid w:val="002C58DA"/>
    <w:rsid w:val="002C5952"/>
    <w:rsid w:val="002C5A0A"/>
    <w:rsid w:val="002C6056"/>
    <w:rsid w:val="002C6661"/>
    <w:rsid w:val="002C71D5"/>
    <w:rsid w:val="002C72F1"/>
    <w:rsid w:val="002C755B"/>
    <w:rsid w:val="002C78AD"/>
    <w:rsid w:val="002C7B10"/>
    <w:rsid w:val="002D0021"/>
    <w:rsid w:val="002D0695"/>
    <w:rsid w:val="002D0792"/>
    <w:rsid w:val="002D08F6"/>
    <w:rsid w:val="002D0F69"/>
    <w:rsid w:val="002D123D"/>
    <w:rsid w:val="002D1423"/>
    <w:rsid w:val="002D1886"/>
    <w:rsid w:val="002D18AA"/>
    <w:rsid w:val="002D1989"/>
    <w:rsid w:val="002D1AAA"/>
    <w:rsid w:val="002D1C07"/>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68E"/>
    <w:rsid w:val="0030178F"/>
    <w:rsid w:val="003019A9"/>
    <w:rsid w:val="003019D2"/>
    <w:rsid w:val="00301A77"/>
    <w:rsid w:val="00301AA6"/>
    <w:rsid w:val="00301B29"/>
    <w:rsid w:val="00301D6C"/>
    <w:rsid w:val="003020E4"/>
    <w:rsid w:val="003020FB"/>
    <w:rsid w:val="00302195"/>
    <w:rsid w:val="00302596"/>
    <w:rsid w:val="00302A1B"/>
    <w:rsid w:val="00302AE2"/>
    <w:rsid w:val="00302BCE"/>
    <w:rsid w:val="00303000"/>
    <w:rsid w:val="00303470"/>
    <w:rsid w:val="00303583"/>
    <w:rsid w:val="003040B2"/>
    <w:rsid w:val="0030412A"/>
    <w:rsid w:val="0030446F"/>
    <w:rsid w:val="003048D7"/>
    <w:rsid w:val="00304AB4"/>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685"/>
    <w:rsid w:val="00326849"/>
    <w:rsid w:val="003268C2"/>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CEF"/>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60A"/>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C53"/>
    <w:rsid w:val="00347E20"/>
    <w:rsid w:val="00347F20"/>
    <w:rsid w:val="003503D8"/>
    <w:rsid w:val="0035079E"/>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1C1"/>
    <w:rsid w:val="0036333F"/>
    <w:rsid w:val="003633D4"/>
    <w:rsid w:val="003634B8"/>
    <w:rsid w:val="003635FB"/>
    <w:rsid w:val="00363857"/>
    <w:rsid w:val="003638F4"/>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463"/>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A5F"/>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27F"/>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6FFD"/>
    <w:rsid w:val="003A76F9"/>
    <w:rsid w:val="003A793E"/>
    <w:rsid w:val="003A7DB8"/>
    <w:rsid w:val="003B0116"/>
    <w:rsid w:val="003B030B"/>
    <w:rsid w:val="003B039D"/>
    <w:rsid w:val="003B04D6"/>
    <w:rsid w:val="003B05BC"/>
    <w:rsid w:val="003B0808"/>
    <w:rsid w:val="003B0844"/>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3A"/>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ADB"/>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78F"/>
    <w:rsid w:val="0040694B"/>
    <w:rsid w:val="00406C2F"/>
    <w:rsid w:val="00406E75"/>
    <w:rsid w:val="0040762A"/>
    <w:rsid w:val="0040791D"/>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6B7"/>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4DE"/>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1A"/>
    <w:rsid w:val="004846B5"/>
    <w:rsid w:val="004849CF"/>
    <w:rsid w:val="004849F9"/>
    <w:rsid w:val="00484D72"/>
    <w:rsid w:val="004854D5"/>
    <w:rsid w:val="00485C13"/>
    <w:rsid w:val="00485E85"/>
    <w:rsid w:val="0048632B"/>
    <w:rsid w:val="0048690A"/>
    <w:rsid w:val="00486BFC"/>
    <w:rsid w:val="00486C1D"/>
    <w:rsid w:val="00487124"/>
    <w:rsid w:val="004872DD"/>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4A"/>
    <w:rsid w:val="00493EAA"/>
    <w:rsid w:val="0049405B"/>
    <w:rsid w:val="004943FA"/>
    <w:rsid w:val="00494458"/>
    <w:rsid w:val="00494626"/>
    <w:rsid w:val="0049485D"/>
    <w:rsid w:val="004948FD"/>
    <w:rsid w:val="004949D4"/>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594"/>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5AF6"/>
    <w:rsid w:val="004A63FC"/>
    <w:rsid w:val="004A6503"/>
    <w:rsid w:val="004A6975"/>
    <w:rsid w:val="004A6BE8"/>
    <w:rsid w:val="004A6EA7"/>
    <w:rsid w:val="004A6F6A"/>
    <w:rsid w:val="004A708D"/>
    <w:rsid w:val="004A7241"/>
    <w:rsid w:val="004A7CC4"/>
    <w:rsid w:val="004A7EAA"/>
    <w:rsid w:val="004A7F04"/>
    <w:rsid w:val="004B0499"/>
    <w:rsid w:val="004B07B8"/>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ECA"/>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70B"/>
    <w:rsid w:val="004C5920"/>
    <w:rsid w:val="004C5B97"/>
    <w:rsid w:val="004C5CE9"/>
    <w:rsid w:val="004C5DE0"/>
    <w:rsid w:val="004C5DFE"/>
    <w:rsid w:val="004C60E5"/>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99D"/>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C16"/>
    <w:rsid w:val="004F3E5B"/>
    <w:rsid w:val="004F3FD3"/>
    <w:rsid w:val="004F3FF3"/>
    <w:rsid w:val="004F4259"/>
    <w:rsid w:val="004F43E4"/>
    <w:rsid w:val="004F44C0"/>
    <w:rsid w:val="004F481A"/>
    <w:rsid w:val="004F4B07"/>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BA"/>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305"/>
    <w:rsid w:val="00530588"/>
    <w:rsid w:val="005308BD"/>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784"/>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0FB0"/>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82"/>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242"/>
    <w:rsid w:val="005554FF"/>
    <w:rsid w:val="00555744"/>
    <w:rsid w:val="00555A4C"/>
    <w:rsid w:val="00555C78"/>
    <w:rsid w:val="005568F2"/>
    <w:rsid w:val="00556932"/>
    <w:rsid w:val="00556BC7"/>
    <w:rsid w:val="00557279"/>
    <w:rsid w:val="005572BE"/>
    <w:rsid w:val="00557A0D"/>
    <w:rsid w:val="00557A68"/>
    <w:rsid w:val="00557B70"/>
    <w:rsid w:val="00557C8F"/>
    <w:rsid w:val="00557E8F"/>
    <w:rsid w:val="0056016E"/>
    <w:rsid w:val="0056030B"/>
    <w:rsid w:val="00560342"/>
    <w:rsid w:val="005603B3"/>
    <w:rsid w:val="00560869"/>
    <w:rsid w:val="00560C0E"/>
    <w:rsid w:val="00560CED"/>
    <w:rsid w:val="005611D1"/>
    <w:rsid w:val="00561270"/>
    <w:rsid w:val="00561494"/>
    <w:rsid w:val="00562153"/>
    <w:rsid w:val="00562439"/>
    <w:rsid w:val="00562AA8"/>
    <w:rsid w:val="00562C1D"/>
    <w:rsid w:val="00562D79"/>
    <w:rsid w:val="00562EFA"/>
    <w:rsid w:val="00563537"/>
    <w:rsid w:val="0056398D"/>
    <w:rsid w:val="00563CD8"/>
    <w:rsid w:val="00564108"/>
    <w:rsid w:val="0056418C"/>
    <w:rsid w:val="005643E7"/>
    <w:rsid w:val="00564615"/>
    <w:rsid w:val="005648CC"/>
    <w:rsid w:val="0056510A"/>
    <w:rsid w:val="005651F9"/>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8E1"/>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79C"/>
    <w:rsid w:val="005A591C"/>
    <w:rsid w:val="005A5921"/>
    <w:rsid w:val="005A5AC1"/>
    <w:rsid w:val="005A600A"/>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D24"/>
    <w:rsid w:val="005B3E45"/>
    <w:rsid w:val="005B43C2"/>
    <w:rsid w:val="005B459B"/>
    <w:rsid w:val="005B48A8"/>
    <w:rsid w:val="005B565D"/>
    <w:rsid w:val="005B5660"/>
    <w:rsid w:val="005B5A21"/>
    <w:rsid w:val="005B5B8B"/>
    <w:rsid w:val="005B5C2C"/>
    <w:rsid w:val="005B5E6D"/>
    <w:rsid w:val="005B6085"/>
    <w:rsid w:val="005B6734"/>
    <w:rsid w:val="005B67FF"/>
    <w:rsid w:val="005B69B7"/>
    <w:rsid w:val="005B69E3"/>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9DD"/>
    <w:rsid w:val="005D7A04"/>
    <w:rsid w:val="005D7D0F"/>
    <w:rsid w:val="005E04A6"/>
    <w:rsid w:val="005E0510"/>
    <w:rsid w:val="005E074F"/>
    <w:rsid w:val="005E08D3"/>
    <w:rsid w:val="005E0DE7"/>
    <w:rsid w:val="005E1016"/>
    <w:rsid w:val="005E11E4"/>
    <w:rsid w:val="005E12DB"/>
    <w:rsid w:val="005E1643"/>
    <w:rsid w:val="005E184F"/>
    <w:rsid w:val="005E1F89"/>
    <w:rsid w:val="005E20FF"/>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95E"/>
    <w:rsid w:val="005E7CB4"/>
    <w:rsid w:val="005F0021"/>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8A3"/>
    <w:rsid w:val="00621B15"/>
    <w:rsid w:val="00621EFF"/>
    <w:rsid w:val="0062229B"/>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69"/>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81F"/>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9B6"/>
    <w:rsid w:val="00671B89"/>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2BF"/>
    <w:rsid w:val="00685470"/>
    <w:rsid w:val="0068559E"/>
    <w:rsid w:val="0068595D"/>
    <w:rsid w:val="006859F7"/>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87F"/>
    <w:rsid w:val="006A3938"/>
    <w:rsid w:val="006A3B5C"/>
    <w:rsid w:val="006A3EB1"/>
    <w:rsid w:val="006A3ECE"/>
    <w:rsid w:val="006A3F4E"/>
    <w:rsid w:val="006A41A1"/>
    <w:rsid w:val="006A46C3"/>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C38"/>
    <w:rsid w:val="006B0C6A"/>
    <w:rsid w:val="006B101B"/>
    <w:rsid w:val="006B1078"/>
    <w:rsid w:val="006B129F"/>
    <w:rsid w:val="006B1BC8"/>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0C3"/>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088"/>
    <w:rsid w:val="006D5332"/>
    <w:rsid w:val="006D55CD"/>
    <w:rsid w:val="006D5632"/>
    <w:rsid w:val="006D5AC2"/>
    <w:rsid w:val="006D611C"/>
    <w:rsid w:val="006D658A"/>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40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5EA"/>
    <w:rsid w:val="0071483F"/>
    <w:rsid w:val="00715035"/>
    <w:rsid w:val="007153AC"/>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1FF4"/>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5F7F"/>
    <w:rsid w:val="007462B2"/>
    <w:rsid w:val="007463DC"/>
    <w:rsid w:val="007468B2"/>
    <w:rsid w:val="007469CD"/>
    <w:rsid w:val="00746B2F"/>
    <w:rsid w:val="00746F9C"/>
    <w:rsid w:val="00747371"/>
    <w:rsid w:val="00747504"/>
    <w:rsid w:val="00747C84"/>
    <w:rsid w:val="00750104"/>
    <w:rsid w:val="00750C82"/>
    <w:rsid w:val="00751180"/>
    <w:rsid w:val="00751631"/>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920"/>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77BC4"/>
    <w:rsid w:val="00780046"/>
    <w:rsid w:val="00780385"/>
    <w:rsid w:val="0078045A"/>
    <w:rsid w:val="0078060B"/>
    <w:rsid w:val="007808BA"/>
    <w:rsid w:val="00780FE6"/>
    <w:rsid w:val="00781F23"/>
    <w:rsid w:val="007824D8"/>
    <w:rsid w:val="00782574"/>
    <w:rsid w:val="0078330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878DF"/>
    <w:rsid w:val="00790238"/>
    <w:rsid w:val="0079053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A37"/>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619"/>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6D4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10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0DCD"/>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CDF"/>
    <w:rsid w:val="007F32F0"/>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B73"/>
    <w:rsid w:val="00811D7A"/>
    <w:rsid w:val="00811E38"/>
    <w:rsid w:val="00811E52"/>
    <w:rsid w:val="0081283E"/>
    <w:rsid w:val="00812A39"/>
    <w:rsid w:val="00812D8F"/>
    <w:rsid w:val="00812E6C"/>
    <w:rsid w:val="008135D4"/>
    <w:rsid w:val="00813714"/>
    <w:rsid w:val="00813DDB"/>
    <w:rsid w:val="00813E1D"/>
    <w:rsid w:val="00813EE6"/>
    <w:rsid w:val="00813F9B"/>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9B9"/>
    <w:rsid w:val="00817A4A"/>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9A5"/>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BC"/>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462"/>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74A"/>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455"/>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56C"/>
    <w:rsid w:val="008879D9"/>
    <w:rsid w:val="00887CA5"/>
    <w:rsid w:val="008902AE"/>
    <w:rsid w:val="00890B94"/>
    <w:rsid w:val="0089110D"/>
    <w:rsid w:val="0089141C"/>
    <w:rsid w:val="008916D3"/>
    <w:rsid w:val="00891923"/>
    <w:rsid w:val="00891E9E"/>
    <w:rsid w:val="00891F47"/>
    <w:rsid w:val="00892413"/>
    <w:rsid w:val="00892535"/>
    <w:rsid w:val="00892AA6"/>
    <w:rsid w:val="00892D10"/>
    <w:rsid w:val="00892D1A"/>
    <w:rsid w:val="00892D3C"/>
    <w:rsid w:val="00892EE0"/>
    <w:rsid w:val="0089312F"/>
    <w:rsid w:val="008937E4"/>
    <w:rsid w:val="00893800"/>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2F"/>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650"/>
    <w:rsid w:val="008C0994"/>
    <w:rsid w:val="008C0BCC"/>
    <w:rsid w:val="008C0C2F"/>
    <w:rsid w:val="008C1196"/>
    <w:rsid w:val="008C1317"/>
    <w:rsid w:val="008C15B8"/>
    <w:rsid w:val="008C178D"/>
    <w:rsid w:val="008C17AE"/>
    <w:rsid w:val="008C1E77"/>
    <w:rsid w:val="008C1EE3"/>
    <w:rsid w:val="008C2141"/>
    <w:rsid w:val="008C22E1"/>
    <w:rsid w:val="008C23B3"/>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AC9"/>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25B"/>
    <w:rsid w:val="008E426C"/>
    <w:rsid w:val="008E4C69"/>
    <w:rsid w:val="008E4CE0"/>
    <w:rsid w:val="008E4DD0"/>
    <w:rsid w:val="008E6042"/>
    <w:rsid w:val="008E63C7"/>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6D5"/>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243D"/>
    <w:rsid w:val="0090250B"/>
    <w:rsid w:val="00902683"/>
    <w:rsid w:val="00902D5A"/>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67"/>
    <w:rsid w:val="00906AF6"/>
    <w:rsid w:val="00907077"/>
    <w:rsid w:val="009071F1"/>
    <w:rsid w:val="0090727B"/>
    <w:rsid w:val="00907734"/>
    <w:rsid w:val="0090783B"/>
    <w:rsid w:val="00907A83"/>
    <w:rsid w:val="00907F8B"/>
    <w:rsid w:val="009100AA"/>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30"/>
    <w:rsid w:val="00913A73"/>
    <w:rsid w:val="00913D4C"/>
    <w:rsid w:val="00913EDE"/>
    <w:rsid w:val="009144D3"/>
    <w:rsid w:val="00914594"/>
    <w:rsid w:val="009146DE"/>
    <w:rsid w:val="0091487A"/>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2A9"/>
    <w:rsid w:val="00940529"/>
    <w:rsid w:val="0094066B"/>
    <w:rsid w:val="00940C65"/>
    <w:rsid w:val="00940F69"/>
    <w:rsid w:val="00940FA2"/>
    <w:rsid w:val="009411F6"/>
    <w:rsid w:val="009412A4"/>
    <w:rsid w:val="00941F9B"/>
    <w:rsid w:val="00942007"/>
    <w:rsid w:val="009423CC"/>
    <w:rsid w:val="0094242B"/>
    <w:rsid w:val="0094253A"/>
    <w:rsid w:val="009426A7"/>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276"/>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7C"/>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FB3"/>
    <w:rsid w:val="00994FE4"/>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AE8"/>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B77D1"/>
    <w:rsid w:val="009C019E"/>
    <w:rsid w:val="009C02E7"/>
    <w:rsid w:val="009C0725"/>
    <w:rsid w:val="009C098A"/>
    <w:rsid w:val="009C0B2A"/>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2C0"/>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912"/>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594"/>
    <w:rsid w:val="009F064B"/>
    <w:rsid w:val="009F09ED"/>
    <w:rsid w:val="009F0B38"/>
    <w:rsid w:val="009F0BC8"/>
    <w:rsid w:val="009F0C71"/>
    <w:rsid w:val="009F0FC0"/>
    <w:rsid w:val="009F111A"/>
    <w:rsid w:val="009F1291"/>
    <w:rsid w:val="009F1503"/>
    <w:rsid w:val="009F193B"/>
    <w:rsid w:val="009F1AD8"/>
    <w:rsid w:val="009F1B77"/>
    <w:rsid w:val="009F1DBD"/>
    <w:rsid w:val="009F1FD5"/>
    <w:rsid w:val="009F2158"/>
    <w:rsid w:val="009F2306"/>
    <w:rsid w:val="009F2336"/>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D94"/>
    <w:rsid w:val="00A01E68"/>
    <w:rsid w:val="00A0224B"/>
    <w:rsid w:val="00A02631"/>
    <w:rsid w:val="00A027E6"/>
    <w:rsid w:val="00A02967"/>
    <w:rsid w:val="00A02D6D"/>
    <w:rsid w:val="00A03001"/>
    <w:rsid w:val="00A03ABB"/>
    <w:rsid w:val="00A03B62"/>
    <w:rsid w:val="00A0474A"/>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E8C"/>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4EBC"/>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5841"/>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AAA"/>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95D"/>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584"/>
    <w:rsid w:val="00A855A8"/>
    <w:rsid w:val="00A8573D"/>
    <w:rsid w:val="00A85855"/>
    <w:rsid w:val="00A85866"/>
    <w:rsid w:val="00A85992"/>
    <w:rsid w:val="00A85B79"/>
    <w:rsid w:val="00A86633"/>
    <w:rsid w:val="00A86AC4"/>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C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40B"/>
    <w:rsid w:val="00AA2817"/>
    <w:rsid w:val="00AA29D3"/>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1C3"/>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02C"/>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407E"/>
    <w:rsid w:val="00B05051"/>
    <w:rsid w:val="00B06075"/>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3FCE"/>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6F7"/>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5D2"/>
    <w:rsid w:val="00B61FA9"/>
    <w:rsid w:val="00B62092"/>
    <w:rsid w:val="00B620EC"/>
    <w:rsid w:val="00B623B5"/>
    <w:rsid w:val="00B627E1"/>
    <w:rsid w:val="00B62962"/>
    <w:rsid w:val="00B62D09"/>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9F7"/>
    <w:rsid w:val="00B65B8A"/>
    <w:rsid w:val="00B65EE8"/>
    <w:rsid w:val="00B66384"/>
    <w:rsid w:val="00B6652A"/>
    <w:rsid w:val="00B667FA"/>
    <w:rsid w:val="00B668C9"/>
    <w:rsid w:val="00B66926"/>
    <w:rsid w:val="00B66976"/>
    <w:rsid w:val="00B67070"/>
    <w:rsid w:val="00B673C2"/>
    <w:rsid w:val="00B70161"/>
    <w:rsid w:val="00B70173"/>
    <w:rsid w:val="00B702D3"/>
    <w:rsid w:val="00B706F0"/>
    <w:rsid w:val="00B70A4D"/>
    <w:rsid w:val="00B70B9A"/>
    <w:rsid w:val="00B70C12"/>
    <w:rsid w:val="00B70CA2"/>
    <w:rsid w:val="00B711A4"/>
    <w:rsid w:val="00B713AA"/>
    <w:rsid w:val="00B713D6"/>
    <w:rsid w:val="00B71733"/>
    <w:rsid w:val="00B71CC7"/>
    <w:rsid w:val="00B71CFE"/>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1D67"/>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78E"/>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68FA"/>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AB9"/>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606"/>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A04"/>
    <w:rsid w:val="00C06B34"/>
    <w:rsid w:val="00C0711E"/>
    <w:rsid w:val="00C07176"/>
    <w:rsid w:val="00C0732C"/>
    <w:rsid w:val="00C073C3"/>
    <w:rsid w:val="00C074E1"/>
    <w:rsid w:val="00C07B45"/>
    <w:rsid w:val="00C07FF1"/>
    <w:rsid w:val="00C10381"/>
    <w:rsid w:val="00C103F6"/>
    <w:rsid w:val="00C107A2"/>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77B"/>
    <w:rsid w:val="00C218F1"/>
    <w:rsid w:val="00C21923"/>
    <w:rsid w:val="00C21D88"/>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AE9"/>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6D9"/>
    <w:rsid w:val="00C34739"/>
    <w:rsid w:val="00C34C6F"/>
    <w:rsid w:val="00C3505A"/>
    <w:rsid w:val="00C3550C"/>
    <w:rsid w:val="00C3591F"/>
    <w:rsid w:val="00C35D3E"/>
    <w:rsid w:val="00C35E42"/>
    <w:rsid w:val="00C367DB"/>
    <w:rsid w:val="00C36C76"/>
    <w:rsid w:val="00C36D63"/>
    <w:rsid w:val="00C36D7A"/>
    <w:rsid w:val="00C36FDD"/>
    <w:rsid w:val="00C371E7"/>
    <w:rsid w:val="00C377CF"/>
    <w:rsid w:val="00C37EFE"/>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63A3"/>
    <w:rsid w:val="00C46769"/>
    <w:rsid w:val="00C469CB"/>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3E6B"/>
    <w:rsid w:val="00C64988"/>
    <w:rsid w:val="00C64E2E"/>
    <w:rsid w:val="00C6527E"/>
    <w:rsid w:val="00C65377"/>
    <w:rsid w:val="00C6547A"/>
    <w:rsid w:val="00C657EB"/>
    <w:rsid w:val="00C65874"/>
    <w:rsid w:val="00C65877"/>
    <w:rsid w:val="00C65AF1"/>
    <w:rsid w:val="00C65DB3"/>
    <w:rsid w:val="00C660C5"/>
    <w:rsid w:val="00C663ED"/>
    <w:rsid w:val="00C664FF"/>
    <w:rsid w:val="00C6673A"/>
    <w:rsid w:val="00C667E0"/>
    <w:rsid w:val="00C668EB"/>
    <w:rsid w:val="00C66AD1"/>
    <w:rsid w:val="00C66B81"/>
    <w:rsid w:val="00C671E0"/>
    <w:rsid w:val="00C6755A"/>
    <w:rsid w:val="00C67679"/>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DF2"/>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36C"/>
    <w:rsid w:val="00C80C7A"/>
    <w:rsid w:val="00C81060"/>
    <w:rsid w:val="00C8199E"/>
    <w:rsid w:val="00C8203A"/>
    <w:rsid w:val="00C82704"/>
    <w:rsid w:val="00C8287D"/>
    <w:rsid w:val="00C82935"/>
    <w:rsid w:val="00C829A7"/>
    <w:rsid w:val="00C82FA4"/>
    <w:rsid w:val="00C830A8"/>
    <w:rsid w:val="00C83814"/>
    <w:rsid w:val="00C8398C"/>
    <w:rsid w:val="00C840B5"/>
    <w:rsid w:val="00C84A7C"/>
    <w:rsid w:val="00C84CCE"/>
    <w:rsid w:val="00C84E2C"/>
    <w:rsid w:val="00C84ED1"/>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19C"/>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D6D"/>
    <w:rsid w:val="00C97EFF"/>
    <w:rsid w:val="00CA00E6"/>
    <w:rsid w:val="00CA03EC"/>
    <w:rsid w:val="00CA046C"/>
    <w:rsid w:val="00CA049B"/>
    <w:rsid w:val="00CA07AF"/>
    <w:rsid w:val="00CA0905"/>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D04"/>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C7E55"/>
    <w:rsid w:val="00CD0431"/>
    <w:rsid w:val="00CD04B3"/>
    <w:rsid w:val="00CD0A0B"/>
    <w:rsid w:val="00CD0BED"/>
    <w:rsid w:val="00CD17BB"/>
    <w:rsid w:val="00CD1BE1"/>
    <w:rsid w:val="00CD1C2E"/>
    <w:rsid w:val="00CD1C6D"/>
    <w:rsid w:val="00CD1D5D"/>
    <w:rsid w:val="00CD1DC6"/>
    <w:rsid w:val="00CD1E0C"/>
    <w:rsid w:val="00CD259D"/>
    <w:rsid w:val="00CD2F80"/>
    <w:rsid w:val="00CD32F6"/>
    <w:rsid w:val="00CD331E"/>
    <w:rsid w:val="00CD3961"/>
    <w:rsid w:val="00CD3E75"/>
    <w:rsid w:val="00CD4302"/>
    <w:rsid w:val="00CD457C"/>
    <w:rsid w:val="00CD4BAB"/>
    <w:rsid w:val="00CD4E7B"/>
    <w:rsid w:val="00CD4FA8"/>
    <w:rsid w:val="00CD53C5"/>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1FE0"/>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D0D"/>
    <w:rsid w:val="00D03DE2"/>
    <w:rsid w:val="00D03E32"/>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CA4"/>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4EEA"/>
    <w:rsid w:val="00D953B8"/>
    <w:rsid w:val="00D95899"/>
    <w:rsid w:val="00D9590C"/>
    <w:rsid w:val="00D95B3B"/>
    <w:rsid w:val="00D95B88"/>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35"/>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2E4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786"/>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DDE"/>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D5"/>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A42"/>
    <w:rsid w:val="00E30DC2"/>
    <w:rsid w:val="00E30EF5"/>
    <w:rsid w:val="00E30FB2"/>
    <w:rsid w:val="00E311DC"/>
    <w:rsid w:val="00E3165F"/>
    <w:rsid w:val="00E319EC"/>
    <w:rsid w:val="00E31AB1"/>
    <w:rsid w:val="00E31B67"/>
    <w:rsid w:val="00E32016"/>
    <w:rsid w:val="00E3202B"/>
    <w:rsid w:val="00E32EB4"/>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862"/>
    <w:rsid w:val="00E36D5B"/>
    <w:rsid w:val="00E36E77"/>
    <w:rsid w:val="00E36ED3"/>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69"/>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BD"/>
    <w:rsid w:val="00E71353"/>
    <w:rsid w:val="00E71456"/>
    <w:rsid w:val="00E71AF8"/>
    <w:rsid w:val="00E71BC0"/>
    <w:rsid w:val="00E71D7E"/>
    <w:rsid w:val="00E72339"/>
    <w:rsid w:val="00E725F8"/>
    <w:rsid w:val="00E7285A"/>
    <w:rsid w:val="00E73164"/>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514E"/>
    <w:rsid w:val="00E852AE"/>
    <w:rsid w:val="00E85307"/>
    <w:rsid w:val="00E8550B"/>
    <w:rsid w:val="00E8551C"/>
    <w:rsid w:val="00E8558A"/>
    <w:rsid w:val="00E8563F"/>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D88"/>
    <w:rsid w:val="00EB1FDC"/>
    <w:rsid w:val="00EB312B"/>
    <w:rsid w:val="00EB3307"/>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5E69"/>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5CC"/>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1C1B"/>
    <w:rsid w:val="00EE216C"/>
    <w:rsid w:val="00EE2521"/>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40"/>
    <w:rsid w:val="00EE748B"/>
    <w:rsid w:val="00EE76A9"/>
    <w:rsid w:val="00EE76B9"/>
    <w:rsid w:val="00EE7706"/>
    <w:rsid w:val="00EE7B6F"/>
    <w:rsid w:val="00EE7F6B"/>
    <w:rsid w:val="00EE7FA7"/>
    <w:rsid w:val="00EF053F"/>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910"/>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6EF8"/>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A3"/>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2ED6"/>
    <w:rsid w:val="00F130FD"/>
    <w:rsid w:val="00F134F1"/>
    <w:rsid w:val="00F13501"/>
    <w:rsid w:val="00F137AA"/>
    <w:rsid w:val="00F1381F"/>
    <w:rsid w:val="00F13AB1"/>
    <w:rsid w:val="00F1416E"/>
    <w:rsid w:val="00F141B0"/>
    <w:rsid w:val="00F1496A"/>
    <w:rsid w:val="00F155A4"/>
    <w:rsid w:val="00F15609"/>
    <w:rsid w:val="00F15709"/>
    <w:rsid w:val="00F15A08"/>
    <w:rsid w:val="00F15A74"/>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DA4"/>
    <w:rsid w:val="00F74FAF"/>
    <w:rsid w:val="00F7523B"/>
    <w:rsid w:val="00F7600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6F0"/>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734"/>
    <w:rsid w:val="00F91A3C"/>
    <w:rsid w:val="00F91EA2"/>
    <w:rsid w:val="00F92036"/>
    <w:rsid w:val="00F920BC"/>
    <w:rsid w:val="00F921FB"/>
    <w:rsid w:val="00F9225C"/>
    <w:rsid w:val="00F9228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6F8C"/>
    <w:rsid w:val="00F973FB"/>
    <w:rsid w:val="00F97866"/>
    <w:rsid w:val="00F979CE"/>
    <w:rsid w:val="00F979F2"/>
    <w:rsid w:val="00F97D19"/>
    <w:rsid w:val="00F97F3D"/>
    <w:rsid w:val="00FA016B"/>
    <w:rsid w:val="00FA018D"/>
    <w:rsid w:val="00FA09EB"/>
    <w:rsid w:val="00FA0A24"/>
    <w:rsid w:val="00FA0D02"/>
    <w:rsid w:val="00FA0F82"/>
    <w:rsid w:val="00FA151D"/>
    <w:rsid w:val="00FA17A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85C"/>
    <w:rsid w:val="00FB0C38"/>
    <w:rsid w:val="00FB0CA4"/>
    <w:rsid w:val="00FB0E23"/>
    <w:rsid w:val="00FB0F4F"/>
    <w:rsid w:val="00FB1005"/>
    <w:rsid w:val="00FB10EB"/>
    <w:rsid w:val="00FB125D"/>
    <w:rsid w:val="00FB1729"/>
    <w:rsid w:val="00FB18BE"/>
    <w:rsid w:val="00FB19EC"/>
    <w:rsid w:val="00FB1A2A"/>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7B4"/>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5FB6"/>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8A4"/>
    <w:rsid w:val="00FF3D60"/>
    <w:rsid w:val="00FF3DF4"/>
    <w:rsid w:val="00FF4060"/>
    <w:rsid w:val="00FF40F4"/>
    <w:rsid w:val="00FF42FB"/>
    <w:rsid w:val="00FF4AEB"/>
    <w:rsid w:val="00FF4EA9"/>
    <w:rsid w:val="00FF4F60"/>
    <w:rsid w:val="00FF4FF5"/>
    <w:rsid w:val="00FF507B"/>
    <w:rsid w:val="00FF5293"/>
    <w:rsid w:val="00FF568D"/>
    <w:rsid w:val="00FF5F67"/>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AF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65A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5AF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rsid w:val="00DB3A47"/>
  </w:style>
  <w:style w:type="paragraph" w:customStyle="1" w:styleId="B2">
    <w:name w:val="B2"/>
    <w:basedOn w:val="List2"/>
    <w:link w:val="B2Char"/>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character" w:customStyle="1" w:styleId="B10">
    <w:name w:val="B1 (文字)"/>
    <w:link w:val="B1"/>
    <w:rsid w:val="001B748D"/>
    <w:rPr>
      <w:rFonts w:asciiTheme="minorHAnsi" w:eastAsiaTheme="minorEastAsia" w:hAnsiTheme="minorHAnsi" w:cstheme="minorBidi"/>
      <w:sz w:val="22"/>
      <w:szCs w:val="22"/>
    </w:rPr>
  </w:style>
  <w:style w:type="character" w:customStyle="1" w:styleId="B2Char">
    <w:name w:val="B2 Char"/>
    <w:link w:val="B2"/>
    <w:rsid w:val="001B748D"/>
    <w:rPr>
      <w:rFonts w:asciiTheme="minorHAnsi" w:eastAsiaTheme="minorEastAsia" w:hAnsiTheme="minorHAnsi" w:cstheme="minorBidi"/>
      <w:sz w:val="22"/>
      <w:szCs w:val="22"/>
    </w:rPr>
  </w:style>
  <w:style w:type="character" w:customStyle="1" w:styleId="NOChar">
    <w:name w:val="NO Char"/>
    <w:link w:val="NO"/>
    <w:rsid w:val="001B74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04361898">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11820416">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68855143">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AC9F0-AB62-447A-B215-13059095D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2019-08-16T07:43:00Z</dcterms:created>
  <dcterms:modified xsi:type="dcterms:W3CDTF">2019-08-16T15:38:00Z</dcterms:modified>
</cp:coreProperties>
</file>